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主旨"/>
    <w:p w:rsidR="00CA77A9" w:rsidRPr="004A57F5" w:rsidRDefault="009350DC" w:rsidP="004A57F5">
      <w:pPr>
        <w:widowControl/>
        <w:adjustRightInd w:val="0"/>
        <w:snapToGrid w:val="0"/>
        <w:spacing w:afterLines="50" w:line="460" w:lineRule="exact"/>
        <w:ind w:left="792" w:hangingChars="283" w:hanging="792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fldChar w:fldCharType="begin"/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MACROBUTTON fPurposes ‌</w:instrText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主旨：</w:instrText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‌</w:instrText>
      </w:r>
      <w:r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fldChar w:fldCharType="end"/>
      </w:r>
      <w:bookmarkStart w:id="1" w:name="說明"/>
      <w:bookmarkEnd w:id="0"/>
      <w:r w:rsidR="00CA77A9" w:rsidRPr="004A57F5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提供</w:t>
      </w:r>
      <w:r w:rsidR="004A57F5" w:rsidRPr="004A57F5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土耳其經商環境分析</w:t>
      </w:r>
      <w:r w:rsidR="00CA77A9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，請</w:t>
      </w:r>
      <w:r w:rsidR="00CA77A9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 xml:space="preserve"> </w:t>
      </w:r>
      <w:r w:rsidR="00CA77A9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卓參。</w:t>
      </w:r>
    </w:p>
    <w:bookmarkEnd w:id="1"/>
    <w:p w:rsidR="009C68AA" w:rsidRPr="004A57F5" w:rsidRDefault="009350DC" w:rsidP="004A57F5">
      <w:pPr>
        <w:adjustRightInd w:val="0"/>
        <w:snapToGrid w:val="0"/>
        <w:spacing w:afterLines="50" w:line="460" w:lineRule="exact"/>
        <w:ind w:left="964" w:hanging="964"/>
        <w:jc w:val="both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fldChar w:fldCharType="begin"/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MACROBUTTON fEditDesc ‌</w:instrText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說明：</w:instrText>
      </w:r>
      <w:r w:rsidR="009C68AA"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instrText>‌</w:instrText>
      </w:r>
      <w:r w:rsidRPr="004A57F5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fldChar w:fldCharType="end"/>
      </w:r>
    </w:p>
    <w:p w:rsidR="00866FC3" w:rsidRPr="004A57F5" w:rsidRDefault="00206978" w:rsidP="004A57F5">
      <w:pPr>
        <w:numPr>
          <w:ilvl w:val="0"/>
          <w:numId w:val="1"/>
        </w:numPr>
        <w:spacing w:afterLines="50" w:line="460" w:lineRule="exact"/>
        <w:ind w:left="1134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7F5">
        <w:rPr>
          <w:rFonts w:ascii="Times New Roman" w:eastAsia="標楷體" w:hAnsi="Times New Roman" w:cs="Times New Roman"/>
          <w:sz w:val="28"/>
          <w:szCs w:val="28"/>
        </w:rPr>
        <w:t>依據</w:t>
      </w:r>
      <w:r w:rsidR="00635894" w:rsidRPr="004A57F5">
        <w:rPr>
          <w:rFonts w:ascii="Times New Roman" w:eastAsia="標楷體" w:hAnsi="Times New Roman" w:cs="Times New Roman"/>
          <w:sz w:val="28"/>
          <w:szCs w:val="28"/>
        </w:rPr>
        <w:t>經濟部國際貿易局</w:t>
      </w:r>
      <w:r w:rsidR="009C68AA" w:rsidRPr="004A57F5">
        <w:rPr>
          <w:rFonts w:ascii="Times New Roman" w:eastAsia="標楷體" w:hAnsi="Times New Roman" w:cs="Times New Roman"/>
          <w:sz w:val="28"/>
          <w:szCs w:val="28"/>
        </w:rPr>
        <w:t>本</w:t>
      </w:r>
      <w:r w:rsidR="004A57F5" w:rsidRPr="004A57F5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A57F5" w:rsidRPr="004A57F5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4A57F5" w:rsidRPr="004A57F5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C68AA" w:rsidRPr="004A57F5">
        <w:rPr>
          <w:rFonts w:ascii="Times New Roman" w:eastAsia="標楷體" w:hAnsi="Times New Roman" w:cs="Times New Roman"/>
          <w:sz w:val="28"/>
          <w:szCs w:val="28"/>
        </w:rPr>
        <w:t>年</w:t>
      </w:r>
      <w:r w:rsidR="00D471EF" w:rsidRPr="004A57F5">
        <w:rPr>
          <w:rFonts w:ascii="Times New Roman" w:eastAsia="標楷體" w:hAnsi="Times New Roman" w:cs="Times New Roman"/>
          <w:sz w:val="28"/>
          <w:szCs w:val="28"/>
        </w:rPr>
        <w:t>11</w:t>
      </w:r>
      <w:r w:rsidR="009C68AA" w:rsidRPr="004A57F5">
        <w:rPr>
          <w:rFonts w:ascii="Times New Roman" w:eastAsia="標楷體" w:hAnsi="Times New Roman" w:cs="Times New Roman"/>
          <w:sz w:val="28"/>
          <w:szCs w:val="28"/>
        </w:rPr>
        <w:t>月</w:t>
      </w:r>
      <w:r w:rsidR="004A57F5" w:rsidRPr="004A57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C68AA" w:rsidRPr="004A57F5">
        <w:rPr>
          <w:rFonts w:ascii="Times New Roman" w:eastAsia="標楷體" w:hAnsi="Times New Roman" w:cs="Times New Roman"/>
          <w:sz w:val="28"/>
          <w:szCs w:val="28"/>
        </w:rPr>
        <w:t>日</w:t>
      </w:r>
      <w:r w:rsidR="00635894" w:rsidRPr="004A57F5">
        <w:rPr>
          <w:rFonts w:ascii="Times New Roman" w:eastAsia="標楷體" w:hAnsi="Times New Roman" w:cs="Times New Roman"/>
          <w:sz w:val="28"/>
          <w:szCs w:val="28"/>
        </w:rPr>
        <w:t>貿雙二</w:t>
      </w:r>
      <w:r w:rsidR="00F652B1" w:rsidRPr="004A57F5">
        <w:rPr>
          <w:rFonts w:ascii="Times New Roman" w:eastAsia="標楷體" w:hAnsi="Times New Roman" w:cs="Times New Roman"/>
          <w:sz w:val="28"/>
          <w:szCs w:val="28"/>
        </w:rPr>
        <w:t>字第</w:t>
      </w:r>
      <w:r w:rsidR="00D471EF" w:rsidRPr="004A57F5">
        <w:rPr>
          <w:rFonts w:ascii="Times New Roman" w:eastAsia="標楷體" w:hAnsi="Times New Roman" w:cs="Times New Roman"/>
          <w:sz w:val="28"/>
          <w:szCs w:val="28"/>
        </w:rPr>
        <w:t xml:space="preserve"> 106703</w:t>
      </w:r>
      <w:r w:rsidR="004A57F5" w:rsidRPr="004A57F5">
        <w:rPr>
          <w:rFonts w:ascii="Times New Roman" w:eastAsia="標楷體" w:hAnsi="Times New Roman" w:cs="Times New Roman" w:hint="eastAsia"/>
          <w:sz w:val="28"/>
          <w:szCs w:val="28"/>
        </w:rPr>
        <w:t>1214</w:t>
      </w:r>
      <w:r w:rsidR="00F652B1" w:rsidRPr="004A57F5">
        <w:rPr>
          <w:rFonts w:ascii="Times New Roman" w:eastAsia="標楷體" w:hAnsi="Times New Roman" w:cs="Times New Roman"/>
          <w:sz w:val="28"/>
          <w:szCs w:val="28"/>
        </w:rPr>
        <w:t>號</w:t>
      </w:r>
      <w:r w:rsidR="009C68AA" w:rsidRPr="004A57F5">
        <w:rPr>
          <w:rFonts w:ascii="Times New Roman" w:eastAsia="標楷體" w:hAnsi="Times New Roman" w:cs="Times New Roman"/>
          <w:sz w:val="28"/>
          <w:szCs w:val="28"/>
        </w:rPr>
        <w:t>函辦理。</w:t>
      </w:r>
    </w:p>
    <w:p w:rsidR="00650170" w:rsidRPr="004A57F5" w:rsidRDefault="004A57F5" w:rsidP="004A57F5">
      <w:pPr>
        <w:numPr>
          <w:ilvl w:val="0"/>
          <w:numId w:val="1"/>
        </w:numPr>
        <w:tabs>
          <w:tab w:val="left" w:pos="1134"/>
        </w:tabs>
        <w:spacing w:afterLines="50" w:line="460" w:lineRule="exact"/>
        <w:ind w:left="1134" w:hanging="708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4A57F5">
        <w:rPr>
          <w:rFonts w:ascii="Times New Roman" w:eastAsia="標楷體" w:hAnsi="Times New Roman" w:cs="Times New Roman" w:hint="eastAsia"/>
          <w:sz w:val="28"/>
          <w:szCs w:val="28"/>
        </w:rPr>
        <w:t>根據</w:t>
      </w:r>
      <w:r w:rsidRPr="004A57F5">
        <w:rPr>
          <w:rFonts w:ascii="Times New Roman" w:eastAsia="標楷體" w:hAnsi="Arial" w:cs="Arial" w:hint="eastAsia"/>
          <w:sz w:val="28"/>
          <w:szCs w:val="28"/>
        </w:rPr>
        <w:t>世界銀行近期發布之「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2018</w:t>
      </w:r>
      <w:r w:rsidRPr="004A57F5">
        <w:rPr>
          <w:rFonts w:ascii="Times New Roman" w:eastAsia="標楷體" w:hAnsi="Arial" w:cs="Arial" w:hint="eastAsia"/>
          <w:sz w:val="28"/>
          <w:szCs w:val="28"/>
        </w:rPr>
        <w:t>年經商環境報告」，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土耳其於評比之</w:t>
      </w:r>
      <w:r w:rsidRPr="004A57F5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190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國中名列第</w:t>
      </w:r>
      <w:r w:rsidRPr="004A57F5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60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名</w:t>
      </w:r>
      <w:r w:rsidRPr="004A57F5">
        <w:rPr>
          <w:rFonts w:ascii="Times New Roman" w:eastAsia="標楷體" w:hAnsi="Arial" w:cs="Arial" w:hint="eastAsia"/>
          <w:sz w:val="28"/>
          <w:szCs w:val="28"/>
        </w:rPr>
        <w:t>，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較上（</w:t>
      </w:r>
      <w:r w:rsidRPr="004A57F5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2016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）年第</w:t>
      </w:r>
      <w:r w:rsidRPr="004A57F5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69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名進步</w:t>
      </w:r>
      <w:r w:rsidRPr="004A57F5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9</w:t>
      </w:r>
      <w:r w:rsidRPr="004A57F5">
        <w:rPr>
          <w:rFonts w:ascii="Times New Roman" w:eastAsia="標楷體" w:hAnsi="Arial" w:cs="Arial" w:hint="eastAsia"/>
          <w:b/>
          <w:sz w:val="28"/>
          <w:szCs w:val="28"/>
          <w:u w:val="single"/>
        </w:rPr>
        <w:t>名</w:t>
      </w:r>
      <w:r w:rsidRPr="004A57F5">
        <w:rPr>
          <w:rFonts w:ascii="Times New Roman" w:eastAsia="標楷體" w:hAnsi="Arial" w:cs="Arial" w:hint="eastAsia"/>
          <w:sz w:val="28"/>
          <w:szCs w:val="28"/>
        </w:rPr>
        <w:t>。優於中國大陸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(78)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、巴西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(125)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、印度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(100)</w:t>
      </w:r>
      <w:r w:rsidRPr="004A57F5">
        <w:rPr>
          <w:rFonts w:ascii="Times New Roman" w:eastAsia="標楷體" w:hAnsi="Arial" w:cs="Arial" w:hint="eastAsia"/>
          <w:sz w:val="28"/>
          <w:szCs w:val="28"/>
        </w:rPr>
        <w:t>等金磚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3</w:t>
      </w:r>
      <w:r w:rsidRPr="004A57F5">
        <w:rPr>
          <w:rFonts w:ascii="Times New Roman" w:eastAsia="標楷體" w:hAnsi="Arial" w:cs="Arial" w:hint="eastAsia"/>
          <w:sz w:val="28"/>
          <w:szCs w:val="28"/>
        </w:rPr>
        <w:t>國；及盧森堡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(63)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、越南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(68)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、菲律賓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(113)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、烏克蘭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(76)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、印尼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(72)</w:t>
      </w:r>
      <w:r w:rsidRPr="004A57F5">
        <w:rPr>
          <w:rFonts w:ascii="Times New Roman" w:eastAsia="標楷體" w:hAnsi="Arial" w:cs="Arial" w:hint="eastAsia"/>
          <w:sz w:val="28"/>
          <w:szCs w:val="28"/>
        </w:rPr>
        <w:t>、阿根廷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(117)</w:t>
      </w:r>
      <w:r w:rsidRPr="004A57F5">
        <w:rPr>
          <w:rFonts w:ascii="Times New Roman" w:eastAsia="標楷體" w:hAnsi="Arial" w:cs="Arial" w:hint="eastAsia"/>
          <w:sz w:val="28"/>
          <w:szCs w:val="28"/>
        </w:rPr>
        <w:t>等發展中國家。</w:t>
      </w:r>
    </w:p>
    <w:p w:rsidR="004A57F5" w:rsidRPr="004A57F5" w:rsidRDefault="004A57F5" w:rsidP="004A57F5">
      <w:pPr>
        <w:numPr>
          <w:ilvl w:val="0"/>
          <w:numId w:val="1"/>
        </w:numPr>
        <w:tabs>
          <w:tab w:val="left" w:pos="1134"/>
        </w:tabs>
        <w:spacing w:afterLines="50" w:line="460" w:lineRule="exact"/>
        <w:ind w:left="1134" w:hanging="708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4A57F5">
        <w:rPr>
          <w:rFonts w:ascii="Times New Roman" w:eastAsia="標楷體" w:hAnsi="Arial" w:cs="Arial" w:hint="eastAsia"/>
          <w:sz w:val="28"/>
          <w:szCs w:val="28"/>
        </w:rPr>
        <w:t>報告指出，土耳其在債務解決方面退步，因施行國家緊急狀態法，禁止延緩破產程序之申請。但在下列經商環境中有所進步</w:t>
      </w:r>
      <w:r w:rsidRPr="004A57F5">
        <w:rPr>
          <w:rFonts w:ascii="Times New Roman" w:eastAsia="標楷體" w:hAnsi="Times New Roman" w:cs="Arial" w:hint="eastAsia"/>
          <w:sz w:val="28"/>
          <w:szCs w:val="28"/>
        </w:rPr>
        <w:t>:</w:t>
      </w:r>
    </w:p>
    <w:p w:rsidR="004A57F5" w:rsidRPr="004A57F5" w:rsidRDefault="004A57F5" w:rsidP="004A57F5">
      <w:pPr>
        <w:pStyle w:val="a9"/>
        <w:numPr>
          <w:ilvl w:val="0"/>
          <w:numId w:val="25"/>
        </w:numPr>
        <w:tabs>
          <w:tab w:val="left" w:pos="1134"/>
        </w:tabs>
        <w:spacing w:afterLines="50" w:line="460" w:lineRule="exact"/>
        <w:ind w:leftChars="0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4A57F5">
        <w:rPr>
          <w:rFonts w:ascii="Arial" w:eastAsia="標楷體" w:hAnsi="Arial" w:cs="Arial" w:hint="eastAsia"/>
          <w:sz w:val="28"/>
          <w:szCs w:val="28"/>
        </w:rPr>
        <w:t>資產登記採用更節省成本之註冊流程，如電子化註冊系統、房地產交易障礙統計、便利申請者線上查看房產交易進度等</w:t>
      </w:r>
      <w:r w:rsidRPr="004A57F5">
        <w:rPr>
          <w:rFonts w:ascii="Arial" w:eastAsia="標楷體" w:hAnsi="Arial" w:cs="Arial" w:hint="eastAsia"/>
          <w:sz w:val="28"/>
          <w:szCs w:val="28"/>
        </w:rPr>
        <w:t xml:space="preserve">; </w:t>
      </w:r>
    </w:p>
    <w:p w:rsidR="004A57F5" w:rsidRDefault="004A57F5" w:rsidP="004A57F5">
      <w:pPr>
        <w:pStyle w:val="a9"/>
        <w:numPr>
          <w:ilvl w:val="0"/>
          <w:numId w:val="25"/>
        </w:numPr>
        <w:tabs>
          <w:tab w:val="left" w:pos="1134"/>
        </w:tabs>
        <w:spacing w:afterLines="50" w:line="460" w:lineRule="exact"/>
        <w:ind w:leftChars="0"/>
        <w:jc w:val="both"/>
        <w:rPr>
          <w:rFonts w:ascii="Arial" w:eastAsia="標楷體" w:hAnsi="Arial" w:cs="Arial" w:hint="eastAsia"/>
          <w:sz w:val="28"/>
          <w:szCs w:val="28"/>
        </w:rPr>
      </w:pPr>
      <w:r w:rsidRPr="004A57F5">
        <w:rPr>
          <w:rFonts w:ascii="Arial" w:eastAsia="標楷體" w:hAnsi="Arial" w:cs="Arial" w:hint="eastAsia"/>
          <w:sz w:val="28"/>
          <w:szCs w:val="28"/>
        </w:rPr>
        <w:t>藉由修法增加經商者貸款之便利，如採用統一之擔保註冊系統並允許庭外擔保，以及改善信貸訊息系統，加強保護個人資料。</w:t>
      </w:r>
    </w:p>
    <w:p w:rsidR="004A57F5" w:rsidRDefault="004A57F5" w:rsidP="004A57F5">
      <w:pPr>
        <w:pStyle w:val="a9"/>
        <w:tabs>
          <w:tab w:val="left" w:pos="1134"/>
        </w:tabs>
        <w:spacing w:afterLines="50" w:line="460" w:lineRule="exact"/>
        <w:ind w:leftChars="-177" w:left="59" w:hangingChars="151" w:hanging="484"/>
        <w:jc w:val="both"/>
        <w:rPr>
          <w:rFonts w:ascii="Arial" w:eastAsia="標楷體" w:hAnsi="Arial" w:cs="Arial" w:hint="eastAsia"/>
          <w:sz w:val="28"/>
          <w:szCs w:val="28"/>
        </w:rPr>
      </w:pPr>
      <w:r w:rsidRPr="004A57F5">
        <w:rPr>
          <w:rFonts w:ascii="Arial" w:eastAsia="標楷體" w:hAnsi="Arial" w:cs="Arial" w:hint="eastAsia"/>
          <w:b/>
          <w:sz w:val="32"/>
          <w:szCs w:val="32"/>
        </w:rPr>
        <w:t xml:space="preserve">                       </w:t>
      </w:r>
      <w:r w:rsidRPr="004A57F5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台灣與土耳其經商環境比較</w:t>
      </w:r>
    </w:p>
    <w:tbl>
      <w:tblPr>
        <w:tblW w:w="10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964"/>
        <w:gridCol w:w="850"/>
        <w:gridCol w:w="850"/>
        <w:gridCol w:w="850"/>
        <w:gridCol w:w="850"/>
        <w:gridCol w:w="850"/>
        <w:gridCol w:w="1134"/>
        <w:gridCol w:w="850"/>
        <w:gridCol w:w="850"/>
        <w:gridCol w:w="850"/>
        <w:gridCol w:w="850"/>
      </w:tblGrid>
      <w:tr w:rsidR="004A57F5" w:rsidRPr="004A57F5" w:rsidTr="004A57F5">
        <w:trPr>
          <w:trHeight w:val="964"/>
        </w:trPr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總排名</w:t>
            </w:r>
          </w:p>
        </w:tc>
        <w:tc>
          <w:tcPr>
            <w:tcW w:w="850" w:type="dxa"/>
            <w:shd w:val="clear" w:color="auto" w:fill="auto"/>
          </w:tcPr>
          <w:p w:rsidR="004A57F5" w:rsidRDefault="004A57F5" w:rsidP="00347C5E">
            <w:pPr>
              <w:spacing w:line="500" w:lineRule="exact"/>
              <w:ind w:rightChars="14" w:right="34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新設</w:t>
            </w:r>
          </w:p>
          <w:p w:rsidR="004A57F5" w:rsidRPr="004A57F5" w:rsidRDefault="004A57F5" w:rsidP="00347C5E">
            <w:pPr>
              <w:spacing w:line="500" w:lineRule="exact"/>
              <w:ind w:rightChars="14" w:right="34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企</w:t>
            </w:r>
            <w:r w:rsidRPr="004A57F5">
              <w:rPr>
                <w:rFonts w:ascii="Arial" w:eastAsia="標楷體" w:hAnsi="Arial" w:cs="Arial" w:hint="eastAsia"/>
                <w:szCs w:val="24"/>
              </w:rPr>
              <w:t>業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取得建照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取得供電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資產登記</w:t>
            </w:r>
            <w:r w:rsidRPr="004A57F5"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取得信用</w:t>
            </w:r>
          </w:p>
        </w:tc>
        <w:tc>
          <w:tcPr>
            <w:tcW w:w="113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 w:val="22"/>
              </w:rPr>
            </w:pPr>
            <w:r w:rsidRPr="004A57F5">
              <w:rPr>
                <w:rFonts w:ascii="Arial" w:eastAsia="標楷體" w:hAnsi="Arial" w:cs="Arial" w:hint="eastAsia"/>
                <w:sz w:val="22"/>
              </w:rPr>
              <w:t>少數投資人保障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繳納稅款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契約執行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跨境貿易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債務解決</w:t>
            </w:r>
          </w:p>
        </w:tc>
      </w:tr>
      <w:tr w:rsidR="004A57F5" w:rsidRPr="004A57F5" w:rsidTr="004A57F5"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b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b/>
                <w:szCs w:val="24"/>
                <w:shd w:val="pct15" w:color="auto" w:fill="FFFFFF"/>
              </w:rPr>
              <w:t>台灣</w:t>
            </w:r>
          </w:p>
        </w:tc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18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10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</w:tr>
      <w:tr w:rsidR="004A57F5" w:rsidRPr="004A57F5" w:rsidTr="004A57F5"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b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b/>
                <w:szCs w:val="24"/>
                <w:shd w:val="pct15" w:color="auto" w:fill="FFFFFF"/>
              </w:rPr>
              <w:t>土耳其</w:t>
            </w:r>
          </w:p>
        </w:tc>
        <w:tc>
          <w:tcPr>
            <w:tcW w:w="96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46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30</w:t>
            </w:r>
          </w:p>
        </w:tc>
        <w:tc>
          <w:tcPr>
            <w:tcW w:w="850" w:type="dxa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4A57F5" w:rsidRPr="004A57F5" w:rsidRDefault="004A57F5" w:rsidP="00347C5E">
            <w:pPr>
              <w:spacing w:line="500" w:lineRule="exact"/>
              <w:jc w:val="center"/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</w:pPr>
            <w:r w:rsidRPr="004A57F5">
              <w:rPr>
                <w:rFonts w:ascii="Arial" w:eastAsia="標楷體" w:hAnsi="Arial" w:cs="Arial" w:hint="eastAsia"/>
                <w:szCs w:val="24"/>
              </w:rPr>
              <w:t>139</w:t>
            </w:r>
          </w:p>
        </w:tc>
      </w:tr>
    </w:tbl>
    <w:p w:rsidR="004A57F5" w:rsidRPr="004A57F5" w:rsidRDefault="004A57F5" w:rsidP="004A57F5">
      <w:pPr>
        <w:pStyle w:val="a9"/>
        <w:tabs>
          <w:tab w:val="left" w:pos="1134"/>
        </w:tabs>
        <w:spacing w:afterLines="50" w:line="460" w:lineRule="exact"/>
        <w:ind w:leftChars="-177" w:left="-2" w:hangingChars="151" w:hanging="423"/>
        <w:jc w:val="both"/>
        <w:rPr>
          <w:rFonts w:ascii="Arial" w:eastAsia="標楷體" w:hAnsi="Arial" w:cs="Arial"/>
          <w:sz w:val="28"/>
          <w:szCs w:val="28"/>
        </w:rPr>
      </w:pPr>
    </w:p>
    <w:p w:rsidR="004A57F5" w:rsidRDefault="004A57F5">
      <w:pPr>
        <w:widowControl/>
        <w:rPr>
          <w:rFonts w:ascii="Arial" w:eastAsia="標楷體" w:hAnsi="Arial" w:cs="Arial"/>
          <w:sz w:val="28"/>
          <w:szCs w:val="28"/>
        </w:rPr>
      </w:pPr>
    </w:p>
    <w:sectPr w:rsidR="004A57F5" w:rsidSect="006501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EA" w:rsidRDefault="00773CEA" w:rsidP="009B455A">
      <w:r>
        <w:separator/>
      </w:r>
    </w:p>
  </w:endnote>
  <w:endnote w:type="continuationSeparator" w:id="0">
    <w:p w:rsidR="00773CEA" w:rsidRDefault="00773CEA" w:rsidP="009B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EA" w:rsidRDefault="00773CEA" w:rsidP="009B455A">
      <w:r>
        <w:separator/>
      </w:r>
    </w:p>
  </w:footnote>
  <w:footnote w:type="continuationSeparator" w:id="0">
    <w:p w:rsidR="00773CEA" w:rsidRDefault="00773CEA" w:rsidP="009B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85C"/>
    <w:multiLevelType w:val="hybridMultilevel"/>
    <w:tmpl w:val="54826806"/>
    <w:lvl w:ilvl="0" w:tplc="A5B4774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0D76AA4"/>
    <w:multiLevelType w:val="hybridMultilevel"/>
    <w:tmpl w:val="C2224518"/>
    <w:lvl w:ilvl="0" w:tplc="A5B47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45845"/>
    <w:multiLevelType w:val="hybridMultilevel"/>
    <w:tmpl w:val="EE5AA7B0"/>
    <w:lvl w:ilvl="0" w:tplc="769E181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AC96F41"/>
    <w:multiLevelType w:val="multilevel"/>
    <w:tmpl w:val="B79A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5A92"/>
    <w:multiLevelType w:val="hybridMultilevel"/>
    <w:tmpl w:val="2F9032FC"/>
    <w:lvl w:ilvl="0" w:tplc="F20C5458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B84C9D"/>
    <w:multiLevelType w:val="hybridMultilevel"/>
    <w:tmpl w:val="BD40E718"/>
    <w:lvl w:ilvl="0" w:tplc="52ECA120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8A808DD"/>
    <w:multiLevelType w:val="hybridMultilevel"/>
    <w:tmpl w:val="6B227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7DD"/>
    <w:multiLevelType w:val="hybridMultilevel"/>
    <w:tmpl w:val="2F1A48E6"/>
    <w:lvl w:ilvl="0" w:tplc="A5B47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071EB0"/>
    <w:multiLevelType w:val="hybridMultilevel"/>
    <w:tmpl w:val="BA6A0230"/>
    <w:lvl w:ilvl="0" w:tplc="769E181E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23356756"/>
    <w:multiLevelType w:val="hybridMultilevel"/>
    <w:tmpl w:val="111A85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32E59"/>
    <w:multiLevelType w:val="hybridMultilevel"/>
    <w:tmpl w:val="F1E47B7E"/>
    <w:lvl w:ilvl="0" w:tplc="A5B4774A">
      <w:start w:val="1"/>
      <w:numFmt w:val="decimal"/>
      <w:lvlText w:val="%1.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1">
    <w:nsid w:val="39EA10F2"/>
    <w:multiLevelType w:val="hybridMultilevel"/>
    <w:tmpl w:val="5A3E53C0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>
    <w:nsid w:val="3A807676"/>
    <w:multiLevelType w:val="hybridMultilevel"/>
    <w:tmpl w:val="A3CA197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FB41503"/>
    <w:multiLevelType w:val="hybridMultilevel"/>
    <w:tmpl w:val="A66286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D4413F"/>
    <w:multiLevelType w:val="hybridMultilevel"/>
    <w:tmpl w:val="558AF08C"/>
    <w:lvl w:ilvl="0" w:tplc="5944F224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701E3"/>
    <w:multiLevelType w:val="hybridMultilevel"/>
    <w:tmpl w:val="6DB099C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50660F01"/>
    <w:multiLevelType w:val="hybridMultilevel"/>
    <w:tmpl w:val="A9E42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A609F2"/>
    <w:multiLevelType w:val="hybridMultilevel"/>
    <w:tmpl w:val="8CAAC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891197"/>
    <w:multiLevelType w:val="hybridMultilevel"/>
    <w:tmpl w:val="E52EA6F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7884E00"/>
    <w:multiLevelType w:val="hybridMultilevel"/>
    <w:tmpl w:val="431624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806E49"/>
    <w:multiLevelType w:val="hybridMultilevel"/>
    <w:tmpl w:val="74AA28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BC7852"/>
    <w:multiLevelType w:val="hybridMultilevel"/>
    <w:tmpl w:val="F0C69C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F7E7AED"/>
    <w:multiLevelType w:val="hybridMultilevel"/>
    <w:tmpl w:val="36108E06"/>
    <w:lvl w:ilvl="0" w:tplc="769E181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756A3C2B"/>
    <w:multiLevelType w:val="hybridMultilevel"/>
    <w:tmpl w:val="61740A74"/>
    <w:lvl w:ilvl="0" w:tplc="4D16A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BA1FBA"/>
    <w:multiLevelType w:val="hybridMultilevel"/>
    <w:tmpl w:val="0292F92E"/>
    <w:lvl w:ilvl="0" w:tplc="A5B4774A">
      <w:start w:val="1"/>
      <w:numFmt w:val="decimal"/>
      <w:lvlText w:val="%1."/>
      <w:lvlJc w:val="left"/>
      <w:pPr>
        <w:ind w:left="17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"/>
  </w:num>
  <w:num w:numId="5">
    <w:abstractNumId w:val="23"/>
  </w:num>
  <w:num w:numId="6">
    <w:abstractNumId w:val="4"/>
  </w:num>
  <w:num w:numId="7">
    <w:abstractNumId w:val="3"/>
  </w:num>
  <w:num w:numId="8">
    <w:abstractNumId w:val="18"/>
  </w:num>
  <w:num w:numId="9">
    <w:abstractNumId w:val="12"/>
  </w:num>
  <w:num w:numId="10">
    <w:abstractNumId w:val="24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11"/>
  </w:num>
  <w:num w:numId="20">
    <w:abstractNumId w:val="6"/>
  </w:num>
  <w:num w:numId="21">
    <w:abstractNumId w:val="20"/>
  </w:num>
  <w:num w:numId="22">
    <w:abstractNumId w:val="21"/>
  </w:num>
  <w:num w:numId="23">
    <w:abstractNumId w:val="13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8AA"/>
    <w:rsid w:val="00053D86"/>
    <w:rsid w:val="0008579F"/>
    <w:rsid w:val="00091968"/>
    <w:rsid w:val="000A0F04"/>
    <w:rsid w:val="000C3938"/>
    <w:rsid w:val="00147878"/>
    <w:rsid w:val="001525F3"/>
    <w:rsid w:val="001A1749"/>
    <w:rsid w:val="001F15F2"/>
    <w:rsid w:val="001F3133"/>
    <w:rsid w:val="00206978"/>
    <w:rsid w:val="002649C8"/>
    <w:rsid w:val="0027150F"/>
    <w:rsid w:val="002A190D"/>
    <w:rsid w:val="004049BB"/>
    <w:rsid w:val="00477DB0"/>
    <w:rsid w:val="004A57F5"/>
    <w:rsid w:val="005133C0"/>
    <w:rsid w:val="00616F5F"/>
    <w:rsid w:val="00635894"/>
    <w:rsid w:val="00650170"/>
    <w:rsid w:val="00767BF2"/>
    <w:rsid w:val="00773CEA"/>
    <w:rsid w:val="007F5AF5"/>
    <w:rsid w:val="008011BB"/>
    <w:rsid w:val="00866FC3"/>
    <w:rsid w:val="00884405"/>
    <w:rsid w:val="008D28E0"/>
    <w:rsid w:val="0092122A"/>
    <w:rsid w:val="00924EB9"/>
    <w:rsid w:val="009350DC"/>
    <w:rsid w:val="009B455A"/>
    <w:rsid w:val="009C68AA"/>
    <w:rsid w:val="009F2B9D"/>
    <w:rsid w:val="009F4F7A"/>
    <w:rsid w:val="00A621E0"/>
    <w:rsid w:val="00A65B9F"/>
    <w:rsid w:val="00B31C8F"/>
    <w:rsid w:val="00B36130"/>
    <w:rsid w:val="00C55383"/>
    <w:rsid w:val="00C97A80"/>
    <w:rsid w:val="00CA77A9"/>
    <w:rsid w:val="00CB4853"/>
    <w:rsid w:val="00D471EF"/>
    <w:rsid w:val="00D651FB"/>
    <w:rsid w:val="00D76AC6"/>
    <w:rsid w:val="00DA341E"/>
    <w:rsid w:val="00DB0C64"/>
    <w:rsid w:val="00E24A28"/>
    <w:rsid w:val="00ED0606"/>
    <w:rsid w:val="00F652B1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5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5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0F04"/>
    <w:pPr>
      <w:ind w:leftChars="200" w:left="480"/>
    </w:pPr>
  </w:style>
  <w:style w:type="character" w:styleId="aa">
    <w:name w:val="Hyperlink"/>
    <w:basedOn w:val="a0"/>
    <w:uiPriority w:val="99"/>
    <w:unhideWhenUsed/>
    <w:rsid w:val="001A1749"/>
    <w:rPr>
      <w:color w:val="0000FF" w:themeColor="hyperlink"/>
      <w:u w:val="single"/>
    </w:rPr>
  </w:style>
  <w:style w:type="paragraph" w:customStyle="1" w:styleId="contentp">
    <w:name w:val="content_p"/>
    <w:basedOn w:val="a"/>
    <w:rsid w:val="00866F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b">
    <w:name w:val="annotation text"/>
    <w:basedOn w:val="a"/>
    <w:link w:val="ac"/>
    <w:uiPriority w:val="99"/>
    <w:semiHidden/>
    <w:unhideWhenUsed/>
    <w:rsid w:val="000C3938"/>
  </w:style>
  <w:style w:type="character" w:customStyle="1" w:styleId="ac">
    <w:name w:val="註解文字 字元"/>
    <w:basedOn w:val="a0"/>
    <w:link w:val="ab"/>
    <w:uiPriority w:val="99"/>
    <w:semiHidden/>
    <w:rsid w:val="000C39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393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3938"/>
    <w:rPr>
      <w:b/>
      <w:bCs/>
    </w:rPr>
  </w:style>
  <w:style w:type="character" w:styleId="af">
    <w:name w:val="Strong"/>
    <w:basedOn w:val="a0"/>
    <w:uiPriority w:val="22"/>
    <w:qFormat/>
    <w:rsid w:val="00477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2015-07-20T05:33:00Z</cp:lastPrinted>
  <dcterms:created xsi:type="dcterms:W3CDTF">2015-08-03T03:48:00Z</dcterms:created>
  <dcterms:modified xsi:type="dcterms:W3CDTF">2017-11-08T10:53:00Z</dcterms:modified>
</cp:coreProperties>
</file>