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86" w:rsidRPr="00B33E15" w:rsidRDefault="00885386" w:rsidP="00B33E15">
      <w:pPr>
        <w:pStyle w:val="a"/>
        <w:widowControl w:val="0"/>
        <w:numPr>
          <w:ilvl w:val="0"/>
          <w:numId w:val="0"/>
        </w:numPr>
        <w:ind w:left="737"/>
        <w:jc w:val="center"/>
        <w:textAlignment w:val="auto"/>
        <w:rPr>
          <w:rFonts w:ascii="Times New Roman" w:hAnsi="Times New Roman"/>
          <w:u w:val="single"/>
        </w:rPr>
      </w:pPr>
      <w:r w:rsidRPr="00B33E15">
        <w:rPr>
          <w:rFonts w:ascii="標楷體" w:hAnsi="標楷體" w:hint="eastAsia"/>
          <w:u w:val="single"/>
        </w:rPr>
        <w:t>印度實施過貨</w:t>
      </w:r>
      <w:r w:rsidRPr="00B33E15">
        <w:rPr>
          <w:rFonts w:ascii="Times New Roman" w:hAnsi="標楷體" w:hint="eastAsia"/>
          <w:u w:val="single"/>
        </w:rPr>
        <w:t>品及服務稅法案對我國業者之影響分析</w:t>
      </w:r>
    </w:p>
    <w:p w:rsidR="00885386" w:rsidRPr="00E56FB0" w:rsidRDefault="00885386" w:rsidP="00D04726">
      <w:pPr>
        <w:pStyle w:val="a"/>
        <w:widowControl w:val="0"/>
        <w:numPr>
          <w:ilvl w:val="0"/>
          <w:numId w:val="2"/>
        </w:numPr>
        <w:textAlignment w:val="auto"/>
        <w:rPr>
          <w:rFonts w:ascii="Times New Roman" w:hAnsi="Times New Roman"/>
        </w:rPr>
      </w:pPr>
      <w:r w:rsidRPr="00D04726">
        <w:rPr>
          <w:rFonts w:ascii="Times New Roman" w:hAnsi="標楷體" w:hint="eastAsia"/>
        </w:rPr>
        <w:t>印度政府於本</w:t>
      </w:r>
      <w:r w:rsidRPr="00D04726">
        <w:rPr>
          <w:rFonts w:ascii="Times New Roman" w:hAnsi="Times New Roman"/>
        </w:rPr>
        <w:t>(106)</w:t>
      </w:r>
      <w:r w:rsidRPr="00D04726">
        <w:rPr>
          <w:rFonts w:ascii="Times New Roman" w:hAnsi="標楷體" w:hint="eastAsia"/>
        </w:rPr>
        <w:t>年</w:t>
      </w:r>
      <w:smartTag w:uri="urn:schemas-microsoft-com:office:smarttags" w:element="chsdate">
        <w:smartTagPr>
          <w:attr w:name="Year" w:val="2017"/>
          <w:attr w:name="Month" w:val="7"/>
          <w:attr w:name="Day" w:val="1"/>
          <w:attr w:name="IsLunarDate" w:val="False"/>
          <w:attr w:name="IsROCDate" w:val="False"/>
        </w:smartTagPr>
        <w:r w:rsidRPr="00D04726">
          <w:rPr>
            <w:rFonts w:ascii="Times New Roman" w:hAnsi="Times New Roman"/>
          </w:rPr>
          <w:t>7</w:t>
        </w:r>
        <w:r w:rsidRPr="00D04726">
          <w:rPr>
            <w:rFonts w:ascii="Times New Roman" w:hAnsi="標楷體" w:hint="eastAsia"/>
          </w:rPr>
          <w:t>月</w:t>
        </w:r>
        <w:r w:rsidRPr="00D04726">
          <w:rPr>
            <w:rFonts w:ascii="Times New Roman" w:hAnsi="Times New Roman"/>
          </w:rPr>
          <w:t>1</w:t>
        </w:r>
        <w:r w:rsidRPr="00D04726">
          <w:rPr>
            <w:rFonts w:ascii="Times New Roman" w:hAnsi="標楷體" w:hint="eastAsia"/>
          </w:rPr>
          <w:t>日</w:t>
        </w:r>
      </w:smartTag>
      <w:r w:rsidRPr="00D04726">
        <w:rPr>
          <w:rFonts w:ascii="Times New Roman" w:hAnsi="標楷體" w:hint="eastAsia"/>
        </w:rPr>
        <w:t>起實施貨品及服務稅新制，</w:t>
      </w:r>
      <w:r>
        <w:rPr>
          <w:rFonts w:hint="eastAsia"/>
        </w:rPr>
        <w:t>整合過去同一產品在供應鏈中不同階段之銷售、買賣等活動所衍生之聯邦、各州間接稅，或同一商品在印度各州獲核課不同稅率的情形，增加企業營運及法規遵循成本，實施之</w:t>
      </w:r>
      <w:r>
        <w:t>GST</w:t>
      </w:r>
      <w:r>
        <w:rPr>
          <w:rFonts w:hint="eastAsia"/>
        </w:rPr>
        <w:t>新制將使全印成為單一稅制。</w:t>
      </w:r>
    </w:p>
    <w:p w:rsidR="00885386" w:rsidRDefault="00885386" w:rsidP="00D04726">
      <w:pPr>
        <w:pStyle w:val="a"/>
        <w:widowControl w:val="0"/>
        <w:numPr>
          <w:ilvl w:val="0"/>
          <w:numId w:val="2"/>
        </w:numPr>
        <w:textAlignment w:val="auto"/>
        <w:rPr>
          <w:rFonts w:ascii="Times New Roman" w:hAnsi="Times New Roman"/>
        </w:rPr>
      </w:pPr>
      <w:r>
        <w:rPr>
          <w:rFonts w:ascii="Times New Roman" w:hAnsi="Times New Roman"/>
        </w:rPr>
        <w:t>GST</w:t>
      </w:r>
      <w:r>
        <w:rPr>
          <w:rFonts w:ascii="Times New Roman" w:hAnsi="Times New Roman" w:hint="eastAsia"/>
        </w:rPr>
        <w:t>稅制結構</w:t>
      </w:r>
    </w:p>
    <w:p w:rsidR="00885386" w:rsidRDefault="00885386" w:rsidP="00E56FB0">
      <w:pPr>
        <w:pStyle w:val="a"/>
        <w:widowControl w:val="0"/>
        <w:numPr>
          <w:ilvl w:val="0"/>
          <w:numId w:val="3"/>
        </w:numPr>
        <w:textAlignment w:val="auto"/>
      </w:pPr>
      <w:r>
        <w:t>GST</w:t>
      </w:r>
      <w:r>
        <w:rPr>
          <w:rFonts w:hint="eastAsia"/>
        </w:rPr>
        <w:t>之稅制結構分為</w:t>
      </w:r>
      <w:r>
        <w:t>CGST</w:t>
      </w:r>
      <w:r>
        <w:rPr>
          <w:rFonts w:hint="eastAsia"/>
        </w:rPr>
        <w:t>（聯邦商品及服務稅）與</w:t>
      </w:r>
      <w:r>
        <w:t>SGST</w:t>
      </w:r>
      <w:r>
        <w:rPr>
          <w:rFonts w:hint="eastAsia"/>
        </w:rPr>
        <w:t>（各州商品及服務稅），該等稅制適用州內交易，聯邦及各州政府對商品各階段之附加價值課徵增值稅；另跨州交易及進出口產品則適用</w:t>
      </w:r>
      <w:r>
        <w:t>IGST</w:t>
      </w:r>
      <w:r>
        <w:rPr>
          <w:rFonts w:hint="eastAsia"/>
        </w:rPr>
        <w:t>（綜合商品服務稅）。</w:t>
      </w:r>
      <w:r w:rsidRPr="00D04726">
        <w:rPr>
          <w:rFonts w:ascii="Times New Roman" w:hAnsi="Times New Roman" w:hint="eastAsia"/>
        </w:rPr>
        <w:t>廠商</w:t>
      </w:r>
      <w:r>
        <w:rPr>
          <w:rFonts w:ascii="Times New Roman" w:hAnsi="Times New Roman" w:hint="eastAsia"/>
        </w:rPr>
        <w:t>進口或</w:t>
      </w:r>
      <w:r w:rsidRPr="00D04726">
        <w:rPr>
          <w:rFonts w:ascii="Times New Roman" w:hAnsi="Times New Roman" w:hint="eastAsia"/>
        </w:rPr>
        <w:t>進貨所繳交之</w:t>
      </w:r>
      <w:r w:rsidRPr="00D04726">
        <w:rPr>
          <w:rFonts w:ascii="Times New Roman" w:hAnsi="Times New Roman"/>
        </w:rPr>
        <w:t>GST</w:t>
      </w:r>
      <w:r w:rsidRPr="00D04726">
        <w:rPr>
          <w:rFonts w:ascii="Times New Roman" w:hAnsi="Times New Roman" w:hint="eastAsia"/>
        </w:rPr>
        <w:t>可於產品銷售後抵減，即政府僅針對增值部分課徵</w:t>
      </w:r>
      <w:r w:rsidRPr="00D04726">
        <w:rPr>
          <w:rFonts w:ascii="Times New Roman" w:hAnsi="Times New Roman"/>
        </w:rPr>
        <w:t>GST</w:t>
      </w:r>
      <w:r w:rsidRPr="00D04726">
        <w:rPr>
          <w:rFonts w:ascii="Times New Roman" w:hAnsi="Times New Roman" w:hint="eastAsia"/>
        </w:rPr>
        <w:t>，排除過去各階段須向聯邦或州政府繳交</w:t>
      </w:r>
      <w:r w:rsidRPr="00D04726">
        <w:rPr>
          <w:rFonts w:ascii="Times New Roman" w:hint="eastAsia"/>
        </w:rPr>
        <w:t>貨物稅、服務稅、清潔捐、農業獎勵捐、研究開發捐、教育</w:t>
      </w:r>
      <w:r>
        <w:rPr>
          <w:rFonts w:hint="eastAsia"/>
        </w:rPr>
        <w:t>捐、加值稅、奢侈稅、娛樂稅等，稅制複雜且有</w:t>
      </w:r>
      <w:r w:rsidRPr="001910B4">
        <w:rPr>
          <w:rFonts w:ascii="Times New Roman" w:hAnsi="Times New Roman" w:hint="eastAsia"/>
        </w:rPr>
        <w:t>重複課稅</w:t>
      </w:r>
      <w:r>
        <w:rPr>
          <w:rFonts w:ascii="Times New Roman" w:hAnsi="Times New Roman" w:hint="eastAsia"/>
        </w:rPr>
        <w:t>的</w:t>
      </w:r>
      <w:r>
        <w:rPr>
          <w:rFonts w:hint="eastAsia"/>
        </w:rPr>
        <w:t>情形</w:t>
      </w:r>
      <w:r>
        <w:rPr>
          <w:rFonts w:ascii="Times New Roman" w:hAnsi="Times New Roman" w:hint="eastAsia"/>
        </w:rPr>
        <w:t>。</w:t>
      </w:r>
    </w:p>
    <w:p w:rsidR="00885386" w:rsidRPr="000D7C19" w:rsidRDefault="00885386" w:rsidP="00E56FB0">
      <w:pPr>
        <w:pStyle w:val="a"/>
        <w:widowControl w:val="0"/>
        <w:numPr>
          <w:ilvl w:val="0"/>
          <w:numId w:val="3"/>
        </w:numPr>
        <w:textAlignment w:val="auto"/>
        <w:rPr>
          <w:rFonts w:ascii="Times New Roman" w:hAnsi="Times New Roman"/>
        </w:rPr>
      </w:pPr>
      <w:r>
        <w:rPr>
          <w:rFonts w:hint="eastAsia"/>
        </w:rPr>
        <w:t>印度聯邦及各州政府聯合組成之</w:t>
      </w:r>
      <w:r>
        <w:t>GST</w:t>
      </w:r>
      <w:r>
        <w:rPr>
          <w:rFonts w:hint="eastAsia"/>
        </w:rPr>
        <w:t>委員會依據商品不同性質，核定五種</w:t>
      </w:r>
      <w:r>
        <w:t>GST</w:t>
      </w:r>
      <w:r>
        <w:rPr>
          <w:rFonts w:hint="eastAsia"/>
        </w:rPr>
        <w:t>稅率級距，分別為</w:t>
      </w:r>
      <w:r>
        <w:t>0%</w:t>
      </w:r>
      <w:r>
        <w:rPr>
          <w:rFonts w:hint="eastAsia"/>
        </w:rPr>
        <w:t>、</w:t>
      </w:r>
      <w:r>
        <w:t>5%</w:t>
      </w:r>
      <w:r>
        <w:rPr>
          <w:rFonts w:hint="eastAsia"/>
        </w:rPr>
        <w:t>、</w:t>
      </w:r>
      <w:r>
        <w:t>12%</w:t>
      </w:r>
      <w:r>
        <w:rPr>
          <w:rFonts w:hint="eastAsia"/>
        </w:rPr>
        <w:t>、</w:t>
      </w:r>
      <w:r>
        <w:t>18%</w:t>
      </w:r>
      <w:r>
        <w:rPr>
          <w:rFonts w:hint="eastAsia"/>
        </w:rPr>
        <w:t>、</w:t>
      </w:r>
      <w:r>
        <w:t>28%</w:t>
      </w:r>
      <w:r>
        <w:rPr>
          <w:rFonts w:hint="eastAsia"/>
        </w:rPr>
        <w:t>。</w:t>
      </w:r>
    </w:p>
    <w:p w:rsidR="00885386" w:rsidRDefault="00885386" w:rsidP="000D7C19">
      <w:pPr>
        <w:pStyle w:val="a"/>
        <w:widowControl w:val="0"/>
        <w:numPr>
          <w:ilvl w:val="0"/>
          <w:numId w:val="5"/>
        </w:numPr>
        <w:textAlignment w:val="auto"/>
      </w:pPr>
      <w:r>
        <w:t>GST</w:t>
      </w:r>
      <w:r>
        <w:rPr>
          <w:rFonts w:hint="eastAsia"/>
        </w:rPr>
        <w:t>為</w:t>
      </w:r>
      <w:r>
        <w:t>0%</w:t>
      </w:r>
      <w:r>
        <w:rPr>
          <w:rFonts w:hint="eastAsia"/>
        </w:rPr>
        <w:t>之商品主要係未經加工之魚、肉、奶、蛋、蜂蜜、麵粉、麵包等必需品。服務種類為價格低於</w:t>
      </w:r>
      <w:r>
        <w:t>500</w:t>
      </w:r>
      <w:r>
        <w:rPr>
          <w:rFonts w:hint="eastAsia"/>
        </w:rPr>
        <w:t>盧比</w:t>
      </w:r>
      <w:r>
        <w:t>(</w:t>
      </w:r>
      <w:r>
        <w:rPr>
          <w:rFonts w:hint="eastAsia"/>
        </w:rPr>
        <w:t>約</w:t>
      </w:r>
      <w:r w:rsidR="00D30985">
        <w:rPr>
          <w:rFonts w:hint="eastAsia"/>
        </w:rPr>
        <w:t>新</w:t>
      </w:r>
      <w:r w:rsidR="00D30985">
        <w:rPr>
          <w:rFonts w:hint="eastAsia"/>
        </w:rPr>
        <w:t>臺</w:t>
      </w:r>
      <w:r w:rsidR="00D30985">
        <w:rPr>
          <w:rFonts w:hint="eastAsia"/>
        </w:rPr>
        <w:t>幣</w:t>
      </w:r>
      <w:r>
        <w:t>250</w:t>
      </w:r>
      <w:r w:rsidR="00D30985">
        <w:rPr>
          <w:rFonts w:hint="eastAsia"/>
        </w:rPr>
        <w:t>元</w:t>
      </w:r>
      <w:r>
        <w:t>)</w:t>
      </w:r>
      <w:r>
        <w:rPr>
          <w:rFonts w:hint="eastAsia"/>
        </w:rPr>
        <w:t>之旅館、老年照護等；</w:t>
      </w:r>
    </w:p>
    <w:p w:rsidR="00885386" w:rsidRPr="000D7C19" w:rsidRDefault="00885386" w:rsidP="000D7C19">
      <w:pPr>
        <w:pStyle w:val="a"/>
        <w:widowControl w:val="0"/>
        <w:numPr>
          <w:ilvl w:val="0"/>
          <w:numId w:val="5"/>
        </w:numPr>
        <w:textAlignment w:val="auto"/>
        <w:rPr>
          <w:rFonts w:ascii="Times New Roman" w:hAnsi="Times New Roman"/>
        </w:rPr>
      </w:pPr>
      <w:r>
        <w:t>GST</w:t>
      </w:r>
      <w:r>
        <w:rPr>
          <w:rFonts w:hint="eastAsia"/>
        </w:rPr>
        <w:t>為</w:t>
      </w:r>
      <w:r>
        <w:t>5%</w:t>
      </w:r>
      <w:r>
        <w:rPr>
          <w:rFonts w:hint="eastAsia"/>
        </w:rPr>
        <w:t>之商品主要係經加工之魚、奶、麵</w:t>
      </w:r>
      <w:r>
        <w:rPr>
          <w:rFonts w:hint="eastAsia"/>
        </w:rPr>
        <w:lastRenderedPageBreak/>
        <w:t>粉、冷凍蔬菜、咖啡、茶、腰果、包裝食品等加工食品及價值低於</w:t>
      </w:r>
      <w:r>
        <w:t>500</w:t>
      </w:r>
      <w:r>
        <w:rPr>
          <w:rFonts w:hint="eastAsia"/>
        </w:rPr>
        <w:t>盧比之衣物。服務種類為鐵公路運輸、小餐廳、旅行社、經濟艙機票等；</w:t>
      </w:r>
    </w:p>
    <w:p w:rsidR="00885386" w:rsidRPr="00A1428F" w:rsidRDefault="00885386" w:rsidP="000D7C19">
      <w:pPr>
        <w:pStyle w:val="a"/>
        <w:widowControl w:val="0"/>
        <w:numPr>
          <w:ilvl w:val="0"/>
          <w:numId w:val="5"/>
        </w:numPr>
        <w:textAlignment w:val="auto"/>
        <w:rPr>
          <w:rFonts w:ascii="Times New Roman" w:hAnsi="Times New Roman"/>
        </w:rPr>
      </w:pPr>
      <w:r>
        <w:t>GST</w:t>
      </w:r>
      <w:r>
        <w:rPr>
          <w:rFonts w:hint="eastAsia"/>
        </w:rPr>
        <w:t>為</w:t>
      </w:r>
      <w:r>
        <w:t>12%</w:t>
      </w:r>
      <w:r>
        <w:rPr>
          <w:rFonts w:hint="eastAsia"/>
        </w:rPr>
        <w:t>之商品主要係各式加工醬料、醫療器材、餐具等。服務種類為無空調之旅館、商務艙機票等；</w:t>
      </w:r>
    </w:p>
    <w:p w:rsidR="00885386" w:rsidRPr="00B34DC7" w:rsidRDefault="00885386" w:rsidP="000D7C19">
      <w:pPr>
        <w:pStyle w:val="a"/>
        <w:widowControl w:val="0"/>
        <w:numPr>
          <w:ilvl w:val="0"/>
          <w:numId w:val="5"/>
        </w:numPr>
        <w:textAlignment w:val="auto"/>
        <w:rPr>
          <w:rFonts w:ascii="Times New Roman" w:hAnsi="Times New Roman"/>
        </w:rPr>
      </w:pPr>
      <w:r>
        <w:rPr>
          <w:rFonts w:hint="eastAsia"/>
        </w:rPr>
        <w:t>絕大多數商品</w:t>
      </w:r>
      <w:r>
        <w:t>(</w:t>
      </w:r>
      <w:r>
        <w:rPr>
          <w:rFonts w:hint="eastAsia"/>
        </w:rPr>
        <w:t>超過</w:t>
      </w:r>
      <w:r>
        <w:t>1,200</w:t>
      </w:r>
      <w:r>
        <w:rPr>
          <w:rFonts w:hint="eastAsia"/>
        </w:rPr>
        <w:t>項產品</w:t>
      </w:r>
      <w:r>
        <w:t>)</w:t>
      </w:r>
      <w:r>
        <w:rPr>
          <w:rFonts w:hint="eastAsia"/>
        </w:rPr>
        <w:t>獲</w:t>
      </w:r>
      <w:r>
        <w:t>GST</w:t>
      </w:r>
      <w:r>
        <w:rPr>
          <w:rFonts w:hint="eastAsia"/>
        </w:rPr>
        <w:t>委員會核定</w:t>
      </w:r>
      <w:r>
        <w:t>GST</w:t>
      </w:r>
      <w:r>
        <w:rPr>
          <w:rFonts w:hint="eastAsia"/>
        </w:rPr>
        <w:t>為</w:t>
      </w:r>
      <w:r>
        <w:t>18%</w:t>
      </w:r>
      <w:r w:rsidRPr="00A1428F">
        <w:rPr>
          <w:rFonts w:ascii="標楷體" w:hAnsi="標楷體"/>
        </w:rPr>
        <w:t xml:space="preserve"> </w:t>
      </w:r>
      <w:r w:rsidRPr="00B34DC7">
        <w:rPr>
          <w:rFonts w:ascii="Times New Roman" w:hAnsi="標楷體" w:hint="eastAsia"/>
        </w:rPr>
        <w:t>，例如超過</w:t>
      </w:r>
      <w:r w:rsidRPr="00B34DC7">
        <w:rPr>
          <w:rFonts w:ascii="Times New Roman" w:hAnsi="Times New Roman"/>
        </w:rPr>
        <w:t>500</w:t>
      </w:r>
      <w:r w:rsidRPr="00B34DC7">
        <w:rPr>
          <w:rFonts w:ascii="Times New Roman" w:hAnsi="標楷體" w:hint="eastAsia"/>
        </w:rPr>
        <w:t>盧比之衣物、精</w:t>
      </w:r>
      <w:r>
        <w:rPr>
          <w:rFonts w:ascii="Times New Roman" w:hAnsi="標楷體" w:hint="eastAsia"/>
        </w:rPr>
        <w:t>煉</w:t>
      </w:r>
      <w:r w:rsidRPr="00B34DC7">
        <w:rPr>
          <w:rFonts w:ascii="Times New Roman" w:hAnsi="標楷體" w:hint="eastAsia"/>
        </w:rPr>
        <w:t>糖、餅乾、義大利麵、冰淇淋、鋁製品、機械、</w:t>
      </w:r>
      <w:r w:rsidRPr="00B34DC7">
        <w:rPr>
          <w:rFonts w:ascii="Times New Roman" w:hAnsi="Times New Roman"/>
        </w:rPr>
        <w:t>CCTV</w:t>
      </w:r>
      <w:r w:rsidRPr="00B34DC7">
        <w:rPr>
          <w:rFonts w:ascii="Times New Roman" w:hAnsi="標楷體" w:hint="eastAsia"/>
        </w:rPr>
        <w:t>監視器、光纖產品、鋼鐵製品、竹製家具等</w:t>
      </w:r>
      <w:r>
        <w:rPr>
          <w:rFonts w:ascii="Times New Roman" w:hAnsi="標楷體" w:hint="eastAsia"/>
        </w:rPr>
        <w:t>。</w:t>
      </w:r>
      <w:r>
        <w:rPr>
          <w:rFonts w:hint="eastAsia"/>
        </w:rPr>
        <w:t>服務種類為提供空調之旅館、商務艙機票、資通訊服務、金融服務、房價在</w:t>
      </w:r>
      <w:r>
        <w:t>2,500-7,500</w:t>
      </w:r>
      <w:r>
        <w:rPr>
          <w:rFonts w:hint="eastAsia"/>
        </w:rPr>
        <w:t>盧比</w:t>
      </w:r>
      <w:r>
        <w:t>(</w:t>
      </w:r>
      <w:r>
        <w:rPr>
          <w:rFonts w:hint="eastAsia"/>
        </w:rPr>
        <w:t>約</w:t>
      </w:r>
      <w:r w:rsidR="00D30985">
        <w:rPr>
          <w:rFonts w:hint="eastAsia"/>
        </w:rPr>
        <w:t>新臺幣</w:t>
      </w:r>
      <w:r>
        <w:t>1,250-3,750</w:t>
      </w:r>
      <w:r w:rsidR="00D30985">
        <w:rPr>
          <w:rFonts w:hint="eastAsia"/>
        </w:rPr>
        <w:t>元</w:t>
      </w:r>
      <w:bookmarkStart w:id="0" w:name="_GoBack"/>
      <w:bookmarkEnd w:id="0"/>
      <w:r>
        <w:t>)</w:t>
      </w:r>
      <w:r>
        <w:rPr>
          <w:rFonts w:hint="eastAsia"/>
        </w:rPr>
        <w:t>之旅館等；</w:t>
      </w:r>
    </w:p>
    <w:p w:rsidR="00885386" w:rsidRPr="007B5A57" w:rsidRDefault="00885386" w:rsidP="000D7C19">
      <w:pPr>
        <w:pStyle w:val="a"/>
        <w:widowControl w:val="0"/>
        <w:numPr>
          <w:ilvl w:val="0"/>
          <w:numId w:val="5"/>
        </w:numPr>
        <w:textAlignment w:val="auto"/>
        <w:rPr>
          <w:rFonts w:ascii="Times New Roman" w:hAnsi="Times New Roman"/>
        </w:rPr>
      </w:pPr>
      <w:r w:rsidRPr="00B34DC7">
        <w:rPr>
          <w:rFonts w:ascii="Times New Roman" w:hAnsi="Times New Roman"/>
        </w:rPr>
        <w:t>GST</w:t>
      </w:r>
      <w:r w:rsidRPr="00B34DC7">
        <w:rPr>
          <w:rFonts w:ascii="Times New Roman" w:hint="eastAsia"/>
        </w:rPr>
        <w:t>為</w:t>
      </w:r>
      <w:r w:rsidRPr="00B34DC7">
        <w:rPr>
          <w:rFonts w:ascii="Times New Roman" w:hAnsi="Times New Roman"/>
        </w:rPr>
        <w:t>28%</w:t>
      </w:r>
      <w:r w:rsidRPr="00B34DC7">
        <w:rPr>
          <w:rFonts w:ascii="Times New Roman" w:hint="eastAsia"/>
        </w:rPr>
        <w:t>之商品主要為較有經濟能力者之消費品，例如口香糖、不含椰奶之巧克力、洗髮精、瓷磚、熱水器、汽機車、私人飛機等</w:t>
      </w:r>
      <w:r>
        <w:rPr>
          <w:rFonts w:ascii="Times New Roman" w:hint="eastAsia"/>
        </w:rPr>
        <w:t>。</w:t>
      </w:r>
      <w:r>
        <w:rPr>
          <w:rFonts w:hint="eastAsia"/>
        </w:rPr>
        <w:t>服務種類為房價</w:t>
      </w:r>
      <w:r>
        <w:t>7,500</w:t>
      </w:r>
      <w:r>
        <w:rPr>
          <w:rFonts w:hint="eastAsia"/>
        </w:rPr>
        <w:t>盧比以上之五星級旅館、俱樂部、電影院等，</w:t>
      </w:r>
      <w:r w:rsidRPr="00B34DC7">
        <w:rPr>
          <w:rFonts w:ascii="Times New Roman" w:hint="eastAsia"/>
        </w:rPr>
        <w:t>係</w:t>
      </w:r>
      <w:r>
        <w:rPr>
          <w:rFonts w:ascii="Times New Roman" w:hint="eastAsia"/>
        </w:rPr>
        <w:t>適用</w:t>
      </w:r>
      <w:r w:rsidRPr="00B34DC7">
        <w:rPr>
          <w:rFonts w:ascii="Times New Roman" w:hint="eastAsia"/>
        </w:rPr>
        <w:t>最高級距之</w:t>
      </w:r>
      <w:r w:rsidRPr="00B34DC7">
        <w:rPr>
          <w:rFonts w:ascii="Times New Roman" w:hAnsi="Times New Roman"/>
        </w:rPr>
        <w:t>GST</w:t>
      </w:r>
      <w:r w:rsidRPr="00B34DC7">
        <w:rPr>
          <w:rFonts w:ascii="Times New Roman" w:hAnsi="標楷體" w:hint="eastAsia"/>
        </w:rPr>
        <w:t>。</w:t>
      </w:r>
    </w:p>
    <w:p w:rsidR="00885386" w:rsidRDefault="00885386" w:rsidP="00E56FB0">
      <w:pPr>
        <w:pStyle w:val="a"/>
        <w:widowControl w:val="0"/>
        <w:numPr>
          <w:ilvl w:val="0"/>
          <w:numId w:val="5"/>
        </w:numPr>
        <w:textAlignment w:val="auto"/>
        <w:rPr>
          <w:rFonts w:ascii="Times New Roman" w:hAnsi="Times New Roman"/>
        </w:rPr>
      </w:pPr>
      <w:r>
        <w:rPr>
          <w:rFonts w:ascii="Times New Roman" w:hAnsi="Times New Roman" w:hint="eastAsia"/>
        </w:rPr>
        <w:t>石油、黃金、酒類產品尚不在本次</w:t>
      </w:r>
      <w:r>
        <w:rPr>
          <w:rFonts w:ascii="Times New Roman" w:hAnsi="Times New Roman"/>
        </w:rPr>
        <w:t>GST</w:t>
      </w:r>
      <w:r>
        <w:rPr>
          <w:rFonts w:ascii="Times New Roman" w:hAnsi="Times New Roman" w:hint="eastAsia"/>
        </w:rPr>
        <w:t>稅制範圍。</w:t>
      </w:r>
    </w:p>
    <w:p w:rsidR="00885386" w:rsidRPr="00062584" w:rsidRDefault="00885386" w:rsidP="00062584">
      <w:pPr>
        <w:pStyle w:val="a"/>
        <w:widowControl w:val="0"/>
        <w:numPr>
          <w:ilvl w:val="0"/>
          <w:numId w:val="2"/>
        </w:numPr>
        <w:textAlignment w:val="auto"/>
        <w:rPr>
          <w:rFonts w:ascii="Times New Roman" w:hAnsi="Times New Roman"/>
        </w:rPr>
      </w:pPr>
      <w:r>
        <w:t>GST</w:t>
      </w:r>
      <w:r>
        <w:rPr>
          <w:rFonts w:hint="eastAsia"/>
        </w:rPr>
        <w:t>對我商潛在利益：</w:t>
      </w:r>
    </w:p>
    <w:p w:rsidR="00885386" w:rsidRDefault="00885386" w:rsidP="00062584">
      <w:pPr>
        <w:pStyle w:val="a"/>
        <w:widowControl w:val="0"/>
        <w:numPr>
          <w:ilvl w:val="0"/>
          <w:numId w:val="4"/>
        </w:numPr>
        <w:textAlignment w:val="auto"/>
      </w:pPr>
      <w:r>
        <w:rPr>
          <w:rFonts w:hint="eastAsia"/>
        </w:rPr>
        <w:t>節省稅務、營運成本：印度</w:t>
      </w:r>
      <w:r>
        <w:t>Lakshmikumaran &amp; Sridharan (L&amp;S)</w:t>
      </w:r>
      <w:r>
        <w:rPr>
          <w:rFonts w:hint="eastAsia"/>
        </w:rPr>
        <w:t>法律事務所分析我商在印具優勢之資通訊、電子相關產品適用</w:t>
      </w:r>
      <w:r>
        <w:t>18%</w:t>
      </w:r>
      <w:r>
        <w:rPr>
          <w:rFonts w:hint="eastAsia"/>
        </w:rPr>
        <w:t>之</w:t>
      </w:r>
      <w:r>
        <w:t>GST</w:t>
      </w:r>
      <w:r>
        <w:rPr>
          <w:rFonts w:hint="eastAsia"/>
        </w:rPr>
        <w:t>稅率，可有效降低企業稅務負擔，減少營運資金</w:t>
      </w:r>
      <w:r>
        <w:rPr>
          <w:rFonts w:hint="eastAsia"/>
        </w:rPr>
        <w:lastRenderedPageBreak/>
        <w:t>需求。</w:t>
      </w:r>
    </w:p>
    <w:p w:rsidR="00885386" w:rsidRPr="00062584" w:rsidRDefault="00885386" w:rsidP="00062584">
      <w:pPr>
        <w:pStyle w:val="a"/>
        <w:widowControl w:val="0"/>
        <w:numPr>
          <w:ilvl w:val="0"/>
          <w:numId w:val="4"/>
        </w:numPr>
        <w:textAlignment w:val="auto"/>
        <w:rPr>
          <w:rFonts w:ascii="Times New Roman" w:hAnsi="Times New Roman"/>
        </w:rPr>
      </w:pPr>
      <w:r>
        <w:rPr>
          <w:rFonts w:hint="eastAsia"/>
        </w:rPr>
        <w:t>進項稅額扣抵銷項稅規定更明確：依據現行稅制，企業可利用之進項稅額扣抵銷項稅規定存有許多限制，致使貨品被重複課稅，出現稅上加稅之情形。</w:t>
      </w:r>
      <w:r>
        <w:t>GST</w:t>
      </w:r>
      <w:r>
        <w:rPr>
          <w:rFonts w:hint="eastAsia"/>
        </w:rPr>
        <w:t>稅制明確定義進項稅額扣抵銷項稅之有關規定，使商品在各生產及銷售階段之扣抵一致連動，有助節省企業營運成本。</w:t>
      </w:r>
    </w:p>
    <w:p w:rsidR="00885386" w:rsidRPr="00062584" w:rsidRDefault="00885386" w:rsidP="00062584">
      <w:pPr>
        <w:pStyle w:val="a"/>
        <w:widowControl w:val="0"/>
        <w:numPr>
          <w:ilvl w:val="0"/>
          <w:numId w:val="4"/>
        </w:numPr>
        <w:textAlignment w:val="auto"/>
        <w:rPr>
          <w:rFonts w:ascii="Times New Roman" w:hAnsi="Times New Roman"/>
        </w:rPr>
      </w:pPr>
      <w:r>
        <w:rPr>
          <w:rFonts w:hint="eastAsia"/>
        </w:rPr>
        <w:t>企業</w:t>
      </w:r>
      <w:r w:rsidRPr="00291017">
        <w:rPr>
          <w:rFonts w:hint="eastAsia"/>
        </w:rPr>
        <w:t>內部轉移價格</w:t>
      </w:r>
      <w:r>
        <w:rPr>
          <w:rFonts w:hint="eastAsia"/>
        </w:rPr>
        <w:t>：鑒於商品交易價格為</w:t>
      </w:r>
      <w:r>
        <w:t>GST</w:t>
      </w:r>
      <w:r>
        <w:rPr>
          <w:rFonts w:hint="eastAsia"/>
        </w:rPr>
        <w:t>稅制之課稅基準，我國來印營運之廠商與其在台母公司進行交易時，交易價格應與相似產品之市場價格趨於一致，不得為節稅目的而刻意壓低公司內部之交易價格。</w:t>
      </w:r>
      <w:r>
        <w:t>GST</w:t>
      </w:r>
      <w:r>
        <w:rPr>
          <w:rFonts w:hint="eastAsia"/>
        </w:rPr>
        <w:t>實施後，印度政府將積極查緝企業內部移轉價格過低之作法，因</w:t>
      </w:r>
      <w:r>
        <w:t>GST</w:t>
      </w:r>
      <w:r>
        <w:rPr>
          <w:rFonts w:hint="eastAsia"/>
        </w:rPr>
        <w:t>法案範本授予印度政府調查商品買賣價格之權力，期使</w:t>
      </w:r>
      <w:r>
        <w:t>GST</w:t>
      </w:r>
      <w:r>
        <w:rPr>
          <w:rFonts w:hint="eastAsia"/>
        </w:rPr>
        <w:t>所帶來之稅務節省利益能充分移轉至消費者。</w:t>
      </w:r>
    </w:p>
    <w:p w:rsidR="00885386" w:rsidRPr="00062584" w:rsidRDefault="00885386" w:rsidP="00062584">
      <w:pPr>
        <w:pStyle w:val="a"/>
        <w:widowControl w:val="0"/>
        <w:numPr>
          <w:ilvl w:val="0"/>
          <w:numId w:val="4"/>
        </w:numPr>
        <w:textAlignment w:val="auto"/>
        <w:rPr>
          <w:rFonts w:ascii="Times New Roman" w:hAnsi="Times New Roman"/>
        </w:rPr>
      </w:pPr>
      <w:r>
        <w:rPr>
          <w:rFonts w:hint="eastAsia"/>
        </w:rPr>
        <w:t>企業生產鏈之調整：在</w:t>
      </w:r>
      <w:r>
        <w:t>GST</w:t>
      </w:r>
      <w:r>
        <w:rPr>
          <w:rFonts w:hint="eastAsia"/>
        </w:rPr>
        <w:t>制度下，進項稅額扣抵銷項稅執行可適用於供應鏈各階段之生產活動。我在印營運之企業宜檢視其供應鏈管理、倉儲、跨州銷售等策略，善用</w:t>
      </w:r>
      <w:r>
        <w:t>GST</w:t>
      </w:r>
      <w:r>
        <w:rPr>
          <w:rFonts w:hint="eastAsia"/>
        </w:rPr>
        <w:t>制度降低營運成本。</w:t>
      </w:r>
    </w:p>
    <w:p w:rsidR="00885386" w:rsidRPr="00062584" w:rsidRDefault="00885386" w:rsidP="00062584">
      <w:pPr>
        <w:pStyle w:val="a"/>
        <w:widowControl w:val="0"/>
        <w:numPr>
          <w:ilvl w:val="0"/>
          <w:numId w:val="4"/>
        </w:numPr>
        <w:textAlignment w:val="auto"/>
        <w:rPr>
          <w:rFonts w:ascii="Times New Roman" w:hAnsi="Times New Roman"/>
        </w:rPr>
      </w:pPr>
      <w:r>
        <w:rPr>
          <w:rFonts w:hint="eastAsia"/>
        </w:rPr>
        <w:t>電子產品之代工模式：鑒於</w:t>
      </w:r>
      <w:r>
        <w:t>GST</w:t>
      </w:r>
      <w:r>
        <w:rPr>
          <w:rFonts w:hint="eastAsia"/>
        </w:rPr>
        <w:t>將特別就委外代工與加工之生產模式及加工貨品在受託生產工廠與委託方間之交易進行規範，儘管印度政府尚未提出相關細節，我商在印度之營運若涉及代工與加工生產（尤其電子零組件、智慧手機、網通設備等領域），須特別關注</w:t>
      </w:r>
      <w:r>
        <w:t>GST</w:t>
      </w:r>
      <w:r>
        <w:rPr>
          <w:rFonts w:hint="eastAsia"/>
        </w:rPr>
        <w:t>對此有</w:t>
      </w:r>
      <w:r>
        <w:rPr>
          <w:rFonts w:hint="eastAsia"/>
        </w:rPr>
        <w:lastRenderedPageBreak/>
        <w:t>關規定。</w:t>
      </w:r>
    </w:p>
    <w:p w:rsidR="00885386" w:rsidRDefault="00885386" w:rsidP="00062584">
      <w:pPr>
        <w:pStyle w:val="a"/>
        <w:widowControl w:val="0"/>
        <w:numPr>
          <w:ilvl w:val="0"/>
          <w:numId w:val="4"/>
        </w:numPr>
        <w:textAlignment w:val="auto"/>
        <w:rPr>
          <w:rFonts w:ascii="Times New Roman" w:hAnsi="Times New Roman"/>
        </w:rPr>
      </w:pPr>
      <w:r>
        <w:rPr>
          <w:rFonts w:hint="eastAsia"/>
        </w:rPr>
        <w:t>便利進出口：過去自我國出口至印度產品須繳納基本關稅、關稅平衡稅、關稅附加稅等；依據</w:t>
      </w:r>
      <w:r>
        <w:t>GST</w:t>
      </w:r>
      <w:r>
        <w:rPr>
          <w:rFonts w:hint="eastAsia"/>
        </w:rPr>
        <w:t>稅制，廠商僅須繳交基本關稅與</w:t>
      </w:r>
      <w:r>
        <w:t>IGST(integrated GST</w:t>
      </w:r>
      <w:r>
        <w:rPr>
          <w:rFonts w:hint="eastAsia"/>
        </w:rPr>
        <w:t>，整合過去各種關稅附加稅</w:t>
      </w:r>
      <w:r w:rsidRPr="002D48CA">
        <w:rPr>
          <w:rFonts w:ascii="標楷體" w:hAnsi="標楷體"/>
        </w:rPr>
        <w:t>)</w:t>
      </w:r>
      <w:r>
        <w:rPr>
          <w:rFonts w:ascii="標楷體" w:hAnsi="標楷體" w:hint="eastAsia"/>
        </w:rPr>
        <w:t>。為</w:t>
      </w:r>
      <w:r>
        <w:rPr>
          <w:rFonts w:hint="eastAsia"/>
        </w:rPr>
        <w:t>從事進口而繳納之</w:t>
      </w:r>
      <w:r>
        <w:t>IGST</w:t>
      </w:r>
      <w:r>
        <w:rPr>
          <w:rFonts w:hint="eastAsia"/>
        </w:rPr>
        <w:t>稅額可扣抵銷項稅。另自印度出口之稅額為零。</w:t>
      </w:r>
    </w:p>
    <w:p w:rsidR="00885386" w:rsidRPr="00423D01" w:rsidRDefault="00885386" w:rsidP="00062584">
      <w:pPr>
        <w:pStyle w:val="a"/>
        <w:widowControl w:val="0"/>
        <w:numPr>
          <w:ilvl w:val="0"/>
          <w:numId w:val="2"/>
        </w:numPr>
        <w:textAlignment w:val="auto"/>
        <w:rPr>
          <w:rFonts w:ascii="Times New Roman" w:hAnsi="Times New Roman"/>
        </w:rPr>
      </w:pPr>
      <w:r>
        <w:t>GST</w:t>
      </w:r>
      <w:r>
        <w:rPr>
          <w:rFonts w:hint="eastAsia"/>
        </w:rPr>
        <w:t>對印度未來經濟發展影響：</w:t>
      </w:r>
    </w:p>
    <w:p w:rsidR="00885386" w:rsidRPr="006E5985" w:rsidRDefault="00885386" w:rsidP="001B7142">
      <w:pPr>
        <w:pStyle w:val="a"/>
        <w:widowControl w:val="0"/>
        <w:numPr>
          <w:ilvl w:val="0"/>
          <w:numId w:val="6"/>
        </w:numPr>
        <w:textAlignment w:val="auto"/>
        <w:rPr>
          <w:rFonts w:ascii="Times New Roman" w:hAnsi="Times New Roman"/>
        </w:rPr>
      </w:pPr>
      <w:r>
        <w:rPr>
          <w:rFonts w:ascii="Times New Roman" w:hAnsi="Times New Roman" w:hint="eastAsia"/>
        </w:rPr>
        <w:t>有利</w:t>
      </w:r>
      <w:r w:rsidRPr="006E5985">
        <w:rPr>
          <w:rFonts w:ascii="Times New Roman" w:hAnsi="Times New Roman" w:hint="eastAsia"/>
        </w:rPr>
        <w:t>增加印度政府財政收入：鑒於</w:t>
      </w:r>
      <w:r w:rsidRPr="006E5985">
        <w:rPr>
          <w:rFonts w:ascii="Times New Roman" w:hAnsi="Times New Roman"/>
        </w:rPr>
        <w:t>GST</w:t>
      </w:r>
      <w:r w:rsidRPr="006E5985">
        <w:rPr>
          <w:rFonts w:ascii="Times New Roman" w:hAnsi="Times New Roman" w:hint="eastAsia"/>
        </w:rPr>
        <w:t>新制較過去簡明易懂</w:t>
      </w:r>
      <w:r w:rsidRPr="006E5985">
        <w:rPr>
          <w:rFonts w:ascii="Times New Roman" w:hAnsi="標楷體" w:hint="eastAsia"/>
        </w:rPr>
        <w:t>，可望降低廠商遵循法規成本，且廠商進貨或進口時繳交之</w:t>
      </w:r>
      <w:r w:rsidRPr="006E5985">
        <w:rPr>
          <w:rFonts w:ascii="Times New Roman" w:hAnsi="Times New Roman"/>
        </w:rPr>
        <w:t>GST</w:t>
      </w:r>
      <w:r w:rsidRPr="006E5985">
        <w:rPr>
          <w:rFonts w:ascii="Times New Roman" w:hAnsi="標楷體" w:hint="eastAsia"/>
        </w:rPr>
        <w:t>可於銷售時抵減，</w:t>
      </w:r>
      <w:r>
        <w:rPr>
          <w:rFonts w:ascii="Times New Roman" w:hAnsi="標楷體" w:hint="eastAsia"/>
        </w:rPr>
        <w:t>可使稅務機關便於勾稽，未誠實報稅廠商風險增加，可望增加印度政府稅收。</w:t>
      </w:r>
    </w:p>
    <w:p w:rsidR="00885386" w:rsidRDefault="00885386" w:rsidP="001B7142">
      <w:pPr>
        <w:pStyle w:val="a"/>
        <w:widowControl w:val="0"/>
        <w:numPr>
          <w:ilvl w:val="0"/>
          <w:numId w:val="6"/>
        </w:numPr>
        <w:textAlignment w:val="auto"/>
        <w:rPr>
          <w:rFonts w:ascii="Times New Roman" w:hAnsi="Times New Roman"/>
        </w:rPr>
      </w:pPr>
      <w:r w:rsidRPr="006E5985">
        <w:rPr>
          <w:rFonts w:ascii="Times New Roman" w:hAnsi="Times New Roman" w:hint="eastAsia"/>
        </w:rPr>
        <w:t>短期</w:t>
      </w:r>
      <w:r>
        <w:rPr>
          <w:rFonts w:ascii="Times New Roman" w:hAnsi="Times New Roman" w:hint="eastAsia"/>
        </w:rPr>
        <w:t>將造成通貨膨脹上揚：印度廠商於</w:t>
      </w:r>
      <w:r>
        <w:rPr>
          <w:rFonts w:ascii="Times New Roman" w:hAnsi="Times New Roman"/>
        </w:rPr>
        <w:t>GST</w:t>
      </w:r>
      <w:r>
        <w:rPr>
          <w:rFonts w:ascii="Times New Roman" w:hAnsi="Times New Roman" w:hint="eastAsia"/>
        </w:rPr>
        <w:t>新制實施後，倘稅率高於原先稅率，將以漲價方式轉嫁消費者，惟倘</w:t>
      </w:r>
      <w:r>
        <w:rPr>
          <w:rFonts w:ascii="Times New Roman" w:hAnsi="Times New Roman"/>
        </w:rPr>
        <w:t>GST</w:t>
      </w:r>
      <w:r>
        <w:rPr>
          <w:rFonts w:ascii="Times New Roman" w:hAnsi="Times New Roman" w:hint="eastAsia"/>
        </w:rPr>
        <w:t>新制實施後之稅率低於原先稅率，廠商多不願降價以回饋消費者。</w:t>
      </w:r>
    </w:p>
    <w:p w:rsidR="00885386" w:rsidRPr="00423D01" w:rsidRDefault="00885386" w:rsidP="001B7142">
      <w:pPr>
        <w:pStyle w:val="a"/>
        <w:widowControl w:val="0"/>
        <w:numPr>
          <w:ilvl w:val="0"/>
          <w:numId w:val="6"/>
        </w:numPr>
        <w:textAlignment w:val="auto"/>
        <w:rPr>
          <w:rFonts w:ascii="Times New Roman" w:hAnsi="Times New Roman"/>
        </w:rPr>
      </w:pPr>
      <w:r>
        <w:rPr>
          <w:rFonts w:ascii="Times New Roman" w:hAnsi="Times New Roman" w:hint="eastAsia"/>
        </w:rPr>
        <w:t>長期有利吸引外資：過去由</w:t>
      </w:r>
      <w:r w:rsidRPr="00A37FDA">
        <w:rPr>
          <w:rFonts w:ascii="Times New Roman" w:hAnsi="Times New Roman" w:hint="eastAsia"/>
        </w:rPr>
        <w:t>於印度稅制複雜，聯邦及各州政府均</w:t>
      </w:r>
      <w:r>
        <w:rPr>
          <w:rFonts w:ascii="Times New Roman" w:hAnsi="Times New Roman" w:hint="eastAsia"/>
        </w:rPr>
        <w:t>擁</w:t>
      </w:r>
      <w:r w:rsidRPr="00A37FDA">
        <w:rPr>
          <w:rFonts w:ascii="Times New Roman" w:hAnsi="Times New Roman" w:hint="eastAsia"/>
        </w:rPr>
        <w:t>有部分課稅權，造成投資者無所適從。新制實施後投資者僅須繳交</w:t>
      </w:r>
      <w:r w:rsidRPr="00A37FDA">
        <w:rPr>
          <w:rFonts w:ascii="Times New Roman" w:hAnsi="Times New Roman"/>
        </w:rPr>
        <w:t>GST</w:t>
      </w:r>
      <w:r w:rsidRPr="00A37FDA">
        <w:rPr>
          <w:rFonts w:ascii="Times New Roman" w:hAnsi="標楷體" w:hint="eastAsia"/>
        </w:rPr>
        <w:t>，</w:t>
      </w:r>
      <w:r>
        <w:rPr>
          <w:rFonts w:ascii="Times New Roman" w:hAnsi="標楷體" w:hint="eastAsia"/>
        </w:rPr>
        <w:t>稅制較為透明，</w:t>
      </w:r>
      <w:r w:rsidRPr="00A37FDA">
        <w:rPr>
          <w:rFonts w:ascii="Times New Roman" w:hAnsi="標楷體" w:hint="eastAsia"/>
        </w:rPr>
        <w:t>有利我國投資者來印投資，</w:t>
      </w:r>
      <w:r>
        <w:rPr>
          <w:rFonts w:ascii="Times New Roman" w:hAnsi="標楷體" w:hint="eastAsia"/>
        </w:rPr>
        <w:t>長期將因外來投資增加可帶動就業機會及消費，提高印度經濟成長率。</w:t>
      </w:r>
    </w:p>
    <w:sectPr w:rsidR="00885386" w:rsidRPr="00423D01" w:rsidSect="00A7615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E7" w:rsidRDefault="004075E7" w:rsidP="00E563E3">
      <w:r>
        <w:separator/>
      </w:r>
    </w:p>
  </w:endnote>
  <w:endnote w:type="continuationSeparator" w:id="0">
    <w:p w:rsidR="004075E7" w:rsidRDefault="004075E7" w:rsidP="00E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E3" w:rsidRDefault="00E563E3">
    <w:pPr>
      <w:pStyle w:val="a6"/>
      <w:jc w:val="center"/>
    </w:pPr>
    <w:r>
      <w:fldChar w:fldCharType="begin"/>
    </w:r>
    <w:r>
      <w:instrText>PAGE   \* MERGEFORMAT</w:instrText>
    </w:r>
    <w:r>
      <w:fldChar w:fldCharType="separate"/>
    </w:r>
    <w:r w:rsidR="00D30985" w:rsidRPr="00D30985">
      <w:rPr>
        <w:noProof/>
        <w:lang w:val="zh-TW"/>
      </w:rPr>
      <w:t>4</w:t>
    </w:r>
    <w:r>
      <w:fldChar w:fldCharType="end"/>
    </w:r>
  </w:p>
  <w:p w:rsidR="00E563E3" w:rsidRDefault="00E563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E7" w:rsidRDefault="004075E7" w:rsidP="00E563E3">
      <w:r>
        <w:separator/>
      </w:r>
    </w:p>
  </w:footnote>
  <w:footnote w:type="continuationSeparator" w:id="0">
    <w:p w:rsidR="004075E7" w:rsidRDefault="004075E7" w:rsidP="00E5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43AF"/>
    <w:multiLevelType w:val="hybridMultilevel"/>
    <w:tmpl w:val="D63429E8"/>
    <w:lvl w:ilvl="0" w:tplc="87BE17D6">
      <w:start w:val="1"/>
      <w:numFmt w:val="decimal"/>
      <w:lvlText w:val="%1."/>
      <w:lvlJc w:val="left"/>
      <w:pPr>
        <w:tabs>
          <w:tab w:val="num" w:pos="1912"/>
        </w:tabs>
        <w:ind w:left="1912" w:hanging="555"/>
      </w:pPr>
      <w:rPr>
        <w:rFonts w:cs="Times New Roman" w:hint="default"/>
      </w:rPr>
    </w:lvl>
    <w:lvl w:ilvl="1" w:tplc="04090019" w:tentative="1">
      <w:start w:val="1"/>
      <w:numFmt w:val="ideographTraditional"/>
      <w:lvlText w:val="%2、"/>
      <w:lvlJc w:val="left"/>
      <w:pPr>
        <w:tabs>
          <w:tab w:val="num" w:pos="2317"/>
        </w:tabs>
        <w:ind w:left="2317" w:hanging="480"/>
      </w:pPr>
      <w:rPr>
        <w:rFonts w:cs="Times New Roman"/>
      </w:rPr>
    </w:lvl>
    <w:lvl w:ilvl="2" w:tplc="0409001B" w:tentative="1">
      <w:start w:val="1"/>
      <w:numFmt w:val="lowerRoman"/>
      <w:lvlText w:val="%3."/>
      <w:lvlJc w:val="right"/>
      <w:pPr>
        <w:tabs>
          <w:tab w:val="num" w:pos="2797"/>
        </w:tabs>
        <w:ind w:left="2797" w:hanging="480"/>
      </w:pPr>
      <w:rPr>
        <w:rFonts w:cs="Times New Roman"/>
      </w:rPr>
    </w:lvl>
    <w:lvl w:ilvl="3" w:tplc="0409000F" w:tentative="1">
      <w:start w:val="1"/>
      <w:numFmt w:val="decimal"/>
      <w:lvlText w:val="%4."/>
      <w:lvlJc w:val="left"/>
      <w:pPr>
        <w:tabs>
          <w:tab w:val="num" w:pos="3277"/>
        </w:tabs>
        <w:ind w:left="3277" w:hanging="480"/>
      </w:pPr>
      <w:rPr>
        <w:rFonts w:cs="Times New Roman"/>
      </w:rPr>
    </w:lvl>
    <w:lvl w:ilvl="4" w:tplc="04090019" w:tentative="1">
      <w:start w:val="1"/>
      <w:numFmt w:val="ideographTraditional"/>
      <w:lvlText w:val="%5、"/>
      <w:lvlJc w:val="left"/>
      <w:pPr>
        <w:tabs>
          <w:tab w:val="num" w:pos="3757"/>
        </w:tabs>
        <w:ind w:left="3757" w:hanging="480"/>
      </w:pPr>
      <w:rPr>
        <w:rFonts w:cs="Times New Roman"/>
      </w:rPr>
    </w:lvl>
    <w:lvl w:ilvl="5" w:tplc="0409001B" w:tentative="1">
      <w:start w:val="1"/>
      <w:numFmt w:val="lowerRoman"/>
      <w:lvlText w:val="%6."/>
      <w:lvlJc w:val="right"/>
      <w:pPr>
        <w:tabs>
          <w:tab w:val="num" w:pos="4237"/>
        </w:tabs>
        <w:ind w:left="4237" w:hanging="480"/>
      </w:pPr>
      <w:rPr>
        <w:rFonts w:cs="Times New Roman"/>
      </w:rPr>
    </w:lvl>
    <w:lvl w:ilvl="6" w:tplc="0409000F" w:tentative="1">
      <w:start w:val="1"/>
      <w:numFmt w:val="decimal"/>
      <w:lvlText w:val="%7."/>
      <w:lvlJc w:val="left"/>
      <w:pPr>
        <w:tabs>
          <w:tab w:val="num" w:pos="4717"/>
        </w:tabs>
        <w:ind w:left="4717" w:hanging="480"/>
      </w:pPr>
      <w:rPr>
        <w:rFonts w:cs="Times New Roman"/>
      </w:rPr>
    </w:lvl>
    <w:lvl w:ilvl="7" w:tplc="04090019" w:tentative="1">
      <w:start w:val="1"/>
      <w:numFmt w:val="ideographTraditional"/>
      <w:lvlText w:val="%8、"/>
      <w:lvlJc w:val="left"/>
      <w:pPr>
        <w:tabs>
          <w:tab w:val="num" w:pos="5197"/>
        </w:tabs>
        <w:ind w:left="5197" w:hanging="480"/>
      </w:pPr>
      <w:rPr>
        <w:rFonts w:cs="Times New Roman"/>
      </w:rPr>
    </w:lvl>
    <w:lvl w:ilvl="8" w:tplc="0409001B" w:tentative="1">
      <w:start w:val="1"/>
      <w:numFmt w:val="lowerRoman"/>
      <w:lvlText w:val="%9."/>
      <w:lvlJc w:val="right"/>
      <w:pPr>
        <w:tabs>
          <w:tab w:val="num" w:pos="5677"/>
        </w:tabs>
        <w:ind w:left="5677" w:hanging="480"/>
      </w:pPr>
      <w:rPr>
        <w:rFonts w:cs="Times New Roman"/>
      </w:rPr>
    </w:lvl>
  </w:abstractNum>
  <w:abstractNum w:abstractNumId="1">
    <w:nsid w:val="388870C5"/>
    <w:multiLevelType w:val="hybridMultilevel"/>
    <w:tmpl w:val="8D267976"/>
    <w:lvl w:ilvl="0" w:tplc="38128A20">
      <w:start w:val="1"/>
      <w:numFmt w:val="taiwaneseCountingThousand"/>
      <w:lvlText w:val="(%1)"/>
      <w:lvlJc w:val="left"/>
      <w:pPr>
        <w:tabs>
          <w:tab w:val="num" w:pos="1757"/>
        </w:tabs>
        <w:ind w:left="1757" w:hanging="720"/>
      </w:pPr>
      <w:rPr>
        <w:rFonts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2">
    <w:nsid w:val="4C372F7D"/>
    <w:multiLevelType w:val="multilevel"/>
    <w:tmpl w:val="E0408CC0"/>
    <w:lvl w:ilvl="0">
      <w:start w:val="1"/>
      <w:numFmt w:val="taiwaneseCountingThousand"/>
      <w:lvlRestart w:val="0"/>
      <w:pStyle w:val="a"/>
      <w:suff w:val="nothing"/>
      <w:lvlText w:val="%1、"/>
      <w:lvlJc w:val="left"/>
      <w:pPr>
        <w:ind w:left="964" w:hanging="641"/>
      </w:pPr>
      <w:rPr>
        <w:rFonts w:cs="Times New Roman" w:hint="eastAsia"/>
      </w:rPr>
    </w:lvl>
    <w:lvl w:ilvl="1">
      <w:start w:val="1"/>
      <w:numFmt w:val="taiwaneseCountingThousand"/>
      <w:suff w:val="nothing"/>
      <w:lvlText w:val="(%2)"/>
      <w:lvlJc w:val="left"/>
      <w:pPr>
        <w:ind w:left="1276" w:hanging="539"/>
      </w:pPr>
      <w:rPr>
        <w:rFonts w:cs="Times New Roman" w:hint="eastAsia"/>
      </w:rPr>
    </w:lvl>
    <w:lvl w:ilvl="2">
      <w:start w:val="1"/>
      <w:numFmt w:val="decimalFullWidth"/>
      <w:suff w:val="nothing"/>
      <w:lvlText w:val="%3、"/>
      <w:lvlJc w:val="left"/>
      <w:pPr>
        <w:ind w:left="1588" w:hanging="652"/>
      </w:pPr>
      <w:rPr>
        <w:rFonts w:ascii="Times New Roman" w:hAnsi="Times New Roman" w:cs="Times New Roman" w:hint="default"/>
      </w:rPr>
    </w:lvl>
    <w:lvl w:ilvl="3">
      <w:start w:val="1"/>
      <w:numFmt w:val="decimalFullWidth"/>
      <w:suff w:val="nothing"/>
      <w:lvlText w:val="(%4)"/>
      <w:lvlJc w:val="left"/>
      <w:pPr>
        <w:ind w:left="1899" w:hanging="538"/>
      </w:pPr>
      <w:rPr>
        <w:rFonts w:ascii="Times New Roman" w:hAnsi="Times New Roman" w:cs="Times New Roman" w:hint="default"/>
      </w:rPr>
    </w:lvl>
    <w:lvl w:ilvl="4">
      <w:start w:val="1"/>
      <w:numFmt w:val="ideographTraditional"/>
      <w:suff w:val="nothing"/>
      <w:lvlText w:val="%5、"/>
      <w:lvlJc w:val="left"/>
      <w:pPr>
        <w:ind w:left="2240" w:hanging="652"/>
      </w:pPr>
      <w:rPr>
        <w:rFonts w:cs="Times New Roman" w:hint="eastAsia"/>
      </w:rPr>
    </w:lvl>
    <w:lvl w:ilvl="5">
      <w:start w:val="1"/>
      <w:numFmt w:val="ideographTraditional"/>
      <w:suff w:val="nothing"/>
      <w:lvlText w:val="(%6)"/>
      <w:lvlJc w:val="left"/>
      <w:pPr>
        <w:ind w:left="2552" w:hanging="539"/>
      </w:pPr>
      <w:rPr>
        <w:rFonts w:cs="Times New Roman" w:hint="eastAsia"/>
      </w:rPr>
    </w:lvl>
    <w:lvl w:ilvl="6">
      <w:start w:val="1"/>
      <w:numFmt w:val="ideographZodiac"/>
      <w:suff w:val="nothing"/>
      <w:lvlText w:val="%7、"/>
      <w:lvlJc w:val="left"/>
      <w:pPr>
        <w:ind w:left="2863" w:hanging="640"/>
      </w:pPr>
      <w:rPr>
        <w:rFonts w:cs="Times New Roman" w:hint="eastAsia"/>
      </w:rPr>
    </w:lvl>
    <w:lvl w:ilvl="7">
      <w:start w:val="1"/>
      <w:numFmt w:val="ideographZodiac"/>
      <w:suff w:val="nothing"/>
      <w:lvlText w:val="(%8)"/>
      <w:lvlJc w:val="left"/>
      <w:pPr>
        <w:ind w:left="3204" w:hanging="550"/>
      </w:pPr>
      <w:rPr>
        <w:rFonts w:cs="Times New Roman" w:hint="eastAsia"/>
      </w:rPr>
    </w:lvl>
    <w:lvl w:ilvl="8">
      <w:start w:val="1"/>
      <w:numFmt w:val="decimalFullWidth"/>
      <w:suff w:val="nothing"/>
      <w:lvlText w:val="%9)"/>
      <w:lvlJc w:val="left"/>
      <w:pPr>
        <w:ind w:left="3515" w:hanging="442"/>
      </w:pPr>
      <w:rPr>
        <w:rFonts w:cs="Times New Roman" w:hint="eastAsia"/>
      </w:rPr>
    </w:lvl>
  </w:abstractNum>
  <w:abstractNum w:abstractNumId="3">
    <w:nsid w:val="713259BF"/>
    <w:multiLevelType w:val="hybridMultilevel"/>
    <w:tmpl w:val="030051E2"/>
    <w:lvl w:ilvl="0" w:tplc="E95290A8">
      <w:start w:val="1"/>
      <w:numFmt w:val="taiwaneseCountingThousand"/>
      <w:lvlText w:val="(%1)"/>
      <w:lvlJc w:val="left"/>
      <w:pPr>
        <w:tabs>
          <w:tab w:val="num" w:pos="1757"/>
        </w:tabs>
        <w:ind w:left="1757" w:hanging="720"/>
      </w:pPr>
      <w:rPr>
        <w:rFonts w:ascii="Times New Roman" w:hAnsi="Times New Roman"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4">
    <w:nsid w:val="78522E5D"/>
    <w:multiLevelType w:val="hybridMultilevel"/>
    <w:tmpl w:val="642A2816"/>
    <w:lvl w:ilvl="0" w:tplc="71705C04">
      <w:start w:val="1"/>
      <w:numFmt w:val="taiwaneseCountingThousand"/>
      <w:lvlText w:val="%1、"/>
      <w:lvlJc w:val="left"/>
      <w:pPr>
        <w:tabs>
          <w:tab w:val="num" w:pos="1457"/>
        </w:tabs>
        <w:ind w:left="1457" w:hanging="720"/>
      </w:pPr>
      <w:rPr>
        <w:rFonts w:ascii="標楷體" w:eastAsia="標楷體" w:cs="Times New Roman" w:hint="default"/>
      </w:rPr>
    </w:lvl>
    <w:lvl w:ilvl="1" w:tplc="04090019" w:tentative="1">
      <w:start w:val="1"/>
      <w:numFmt w:val="ideographTraditional"/>
      <w:lvlText w:val="%2、"/>
      <w:lvlJc w:val="left"/>
      <w:pPr>
        <w:tabs>
          <w:tab w:val="num" w:pos="1697"/>
        </w:tabs>
        <w:ind w:left="1697" w:hanging="480"/>
      </w:pPr>
      <w:rPr>
        <w:rFonts w:cs="Times New Roman"/>
      </w:rPr>
    </w:lvl>
    <w:lvl w:ilvl="2" w:tplc="0409001B" w:tentative="1">
      <w:start w:val="1"/>
      <w:numFmt w:val="lowerRoman"/>
      <w:lvlText w:val="%3."/>
      <w:lvlJc w:val="right"/>
      <w:pPr>
        <w:tabs>
          <w:tab w:val="num" w:pos="2177"/>
        </w:tabs>
        <w:ind w:left="2177" w:hanging="480"/>
      </w:pPr>
      <w:rPr>
        <w:rFonts w:cs="Times New Roman"/>
      </w:rPr>
    </w:lvl>
    <w:lvl w:ilvl="3" w:tplc="0409000F" w:tentative="1">
      <w:start w:val="1"/>
      <w:numFmt w:val="decimal"/>
      <w:lvlText w:val="%4."/>
      <w:lvlJc w:val="left"/>
      <w:pPr>
        <w:tabs>
          <w:tab w:val="num" w:pos="2657"/>
        </w:tabs>
        <w:ind w:left="2657" w:hanging="480"/>
      </w:pPr>
      <w:rPr>
        <w:rFonts w:cs="Times New Roman"/>
      </w:rPr>
    </w:lvl>
    <w:lvl w:ilvl="4" w:tplc="04090019" w:tentative="1">
      <w:start w:val="1"/>
      <w:numFmt w:val="ideographTraditional"/>
      <w:lvlText w:val="%5、"/>
      <w:lvlJc w:val="left"/>
      <w:pPr>
        <w:tabs>
          <w:tab w:val="num" w:pos="3137"/>
        </w:tabs>
        <w:ind w:left="3137" w:hanging="480"/>
      </w:pPr>
      <w:rPr>
        <w:rFonts w:cs="Times New Roman"/>
      </w:rPr>
    </w:lvl>
    <w:lvl w:ilvl="5" w:tplc="0409001B" w:tentative="1">
      <w:start w:val="1"/>
      <w:numFmt w:val="lowerRoman"/>
      <w:lvlText w:val="%6."/>
      <w:lvlJc w:val="right"/>
      <w:pPr>
        <w:tabs>
          <w:tab w:val="num" w:pos="3617"/>
        </w:tabs>
        <w:ind w:left="3617" w:hanging="480"/>
      </w:pPr>
      <w:rPr>
        <w:rFonts w:cs="Times New Roman"/>
      </w:rPr>
    </w:lvl>
    <w:lvl w:ilvl="6" w:tplc="0409000F" w:tentative="1">
      <w:start w:val="1"/>
      <w:numFmt w:val="decimal"/>
      <w:lvlText w:val="%7."/>
      <w:lvlJc w:val="left"/>
      <w:pPr>
        <w:tabs>
          <w:tab w:val="num" w:pos="4097"/>
        </w:tabs>
        <w:ind w:left="4097" w:hanging="480"/>
      </w:pPr>
      <w:rPr>
        <w:rFonts w:cs="Times New Roman"/>
      </w:rPr>
    </w:lvl>
    <w:lvl w:ilvl="7" w:tplc="04090019" w:tentative="1">
      <w:start w:val="1"/>
      <w:numFmt w:val="ideographTraditional"/>
      <w:lvlText w:val="%8、"/>
      <w:lvlJc w:val="left"/>
      <w:pPr>
        <w:tabs>
          <w:tab w:val="num" w:pos="4577"/>
        </w:tabs>
        <w:ind w:left="4577" w:hanging="480"/>
      </w:pPr>
      <w:rPr>
        <w:rFonts w:cs="Times New Roman"/>
      </w:rPr>
    </w:lvl>
    <w:lvl w:ilvl="8" w:tplc="0409001B" w:tentative="1">
      <w:start w:val="1"/>
      <w:numFmt w:val="lowerRoman"/>
      <w:lvlText w:val="%9."/>
      <w:lvlJc w:val="right"/>
      <w:pPr>
        <w:tabs>
          <w:tab w:val="num" w:pos="5057"/>
        </w:tabs>
        <w:ind w:left="5057" w:hanging="480"/>
      </w:pPr>
      <w:rPr>
        <w:rFonts w:cs="Times New Roman"/>
      </w:rPr>
    </w:lvl>
  </w:abstractNum>
  <w:abstractNum w:abstractNumId="5">
    <w:nsid w:val="7F010F97"/>
    <w:multiLevelType w:val="hybridMultilevel"/>
    <w:tmpl w:val="F5684392"/>
    <w:lvl w:ilvl="0" w:tplc="4C2ED00C">
      <w:start w:val="1"/>
      <w:numFmt w:val="taiwaneseCountingThousand"/>
      <w:lvlText w:val="(%1)"/>
      <w:lvlJc w:val="left"/>
      <w:pPr>
        <w:tabs>
          <w:tab w:val="num" w:pos="1757"/>
        </w:tabs>
        <w:ind w:left="1757" w:hanging="720"/>
      </w:pPr>
      <w:rPr>
        <w:rFonts w:ascii="Times New Roman" w:hAnsi="Times New Roman"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43F"/>
    <w:rsid w:val="00062584"/>
    <w:rsid w:val="000D7C19"/>
    <w:rsid w:val="001910B4"/>
    <w:rsid w:val="001B7142"/>
    <w:rsid w:val="001E288A"/>
    <w:rsid w:val="002145AA"/>
    <w:rsid w:val="00291017"/>
    <w:rsid w:val="002D48CA"/>
    <w:rsid w:val="003603F0"/>
    <w:rsid w:val="00370763"/>
    <w:rsid w:val="003F7D3A"/>
    <w:rsid w:val="004075E7"/>
    <w:rsid w:val="00423D01"/>
    <w:rsid w:val="0043244B"/>
    <w:rsid w:val="00491C82"/>
    <w:rsid w:val="00517316"/>
    <w:rsid w:val="00670182"/>
    <w:rsid w:val="006E5985"/>
    <w:rsid w:val="007115AB"/>
    <w:rsid w:val="007B5387"/>
    <w:rsid w:val="007B5A57"/>
    <w:rsid w:val="008052FE"/>
    <w:rsid w:val="008770BF"/>
    <w:rsid w:val="00885386"/>
    <w:rsid w:val="009023F4"/>
    <w:rsid w:val="00963C8F"/>
    <w:rsid w:val="009F0571"/>
    <w:rsid w:val="00A1008E"/>
    <w:rsid w:val="00A1428F"/>
    <w:rsid w:val="00A221F3"/>
    <w:rsid w:val="00A37FDA"/>
    <w:rsid w:val="00A57DB2"/>
    <w:rsid w:val="00A76151"/>
    <w:rsid w:val="00AE38B0"/>
    <w:rsid w:val="00B26AD6"/>
    <w:rsid w:val="00B33E15"/>
    <w:rsid w:val="00B34DC7"/>
    <w:rsid w:val="00B5743F"/>
    <w:rsid w:val="00BA1231"/>
    <w:rsid w:val="00BB250A"/>
    <w:rsid w:val="00BB3539"/>
    <w:rsid w:val="00BF35E6"/>
    <w:rsid w:val="00C06ED1"/>
    <w:rsid w:val="00CC09B0"/>
    <w:rsid w:val="00CF2AC5"/>
    <w:rsid w:val="00CF48D7"/>
    <w:rsid w:val="00D04726"/>
    <w:rsid w:val="00D30985"/>
    <w:rsid w:val="00D3712A"/>
    <w:rsid w:val="00D40DA1"/>
    <w:rsid w:val="00D50D03"/>
    <w:rsid w:val="00DB53FA"/>
    <w:rsid w:val="00DD5279"/>
    <w:rsid w:val="00E5565F"/>
    <w:rsid w:val="00E563E3"/>
    <w:rsid w:val="00E56FB0"/>
    <w:rsid w:val="00E85263"/>
    <w:rsid w:val="00EC0093"/>
    <w:rsid w:val="00F0446E"/>
    <w:rsid w:val="00FC7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151"/>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公文(後續段落_段落)"/>
    <w:basedOn w:val="a0"/>
    <w:uiPriority w:val="99"/>
    <w:rsid w:val="00B5743F"/>
    <w:pPr>
      <w:widowControl/>
      <w:numPr>
        <w:numId w:val="1"/>
      </w:numPr>
      <w:snapToGrid w:val="0"/>
      <w:spacing w:line="500" w:lineRule="exact"/>
      <w:jc w:val="both"/>
      <w:textAlignment w:val="baseline"/>
    </w:pPr>
    <w:rPr>
      <w:rFonts w:ascii="Times" w:eastAsia="標楷體" w:hAnsi="Times"/>
      <w:noProof/>
      <w:sz w:val="32"/>
      <w:szCs w:val="20"/>
      <w:lang w:bidi="he-IL"/>
    </w:rPr>
  </w:style>
  <w:style w:type="paragraph" w:styleId="a4">
    <w:name w:val="header"/>
    <w:basedOn w:val="a0"/>
    <w:link w:val="a5"/>
    <w:uiPriority w:val="99"/>
    <w:unhideWhenUsed/>
    <w:rsid w:val="00E563E3"/>
    <w:pPr>
      <w:tabs>
        <w:tab w:val="center" w:pos="4153"/>
        <w:tab w:val="right" w:pos="8306"/>
      </w:tabs>
      <w:snapToGrid w:val="0"/>
    </w:pPr>
    <w:rPr>
      <w:sz w:val="20"/>
      <w:szCs w:val="20"/>
    </w:rPr>
  </w:style>
  <w:style w:type="character" w:customStyle="1" w:styleId="a5">
    <w:name w:val="頁首 字元"/>
    <w:link w:val="a4"/>
    <w:uiPriority w:val="99"/>
    <w:rsid w:val="00E563E3"/>
    <w:rPr>
      <w:sz w:val="20"/>
      <w:szCs w:val="20"/>
    </w:rPr>
  </w:style>
  <w:style w:type="paragraph" w:styleId="a6">
    <w:name w:val="footer"/>
    <w:basedOn w:val="a0"/>
    <w:link w:val="a7"/>
    <w:uiPriority w:val="99"/>
    <w:unhideWhenUsed/>
    <w:rsid w:val="00E563E3"/>
    <w:pPr>
      <w:tabs>
        <w:tab w:val="center" w:pos="4153"/>
        <w:tab w:val="right" w:pos="8306"/>
      </w:tabs>
      <w:snapToGrid w:val="0"/>
    </w:pPr>
    <w:rPr>
      <w:sz w:val="20"/>
      <w:szCs w:val="20"/>
    </w:rPr>
  </w:style>
  <w:style w:type="character" w:customStyle="1" w:styleId="a7">
    <w:name w:val="頁尾 字元"/>
    <w:link w:val="a6"/>
    <w:uiPriority w:val="99"/>
    <w:rsid w:val="00E563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(一)印度修憲通過貨品及服務稅法案對我國業者之影響：</dc:title>
  <dc:subject/>
  <dc:creator>asus</dc:creator>
  <cp:keywords/>
  <dc:description/>
  <cp:lastModifiedBy> 賴文楷</cp:lastModifiedBy>
  <cp:revision>49</cp:revision>
  <cp:lastPrinted>2017-07-20T06:09:00Z</cp:lastPrinted>
  <dcterms:created xsi:type="dcterms:W3CDTF">2017-07-20T04:15:00Z</dcterms:created>
  <dcterms:modified xsi:type="dcterms:W3CDTF">2017-07-26T09:40:00Z</dcterms:modified>
</cp:coreProperties>
</file>