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37" w:rsidRPr="00BD571A" w:rsidRDefault="00C020C5" w:rsidP="00080BB2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越南依據跨太平洋夥伴協定規定</w:t>
      </w:r>
      <w:r>
        <w:rPr>
          <w:rFonts w:eastAsia="標楷體" w:hint="eastAsia"/>
          <w:b/>
          <w:sz w:val="32"/>
          <w:szCs w:val="32"/>
        </w:rPr>
        <w:t>進行</w:t>
      </w:r>
      <w:r w:rsidR="00BD571A" w:rsidRPr="00BD571A">
        <w:rPr>
          <w:rFonts w:eastAsia="標楷體"/>
          <w:b/>
          <w:sz w:val="32"/>
          <w:szCs w:val="32"/>
        </w:rPr>
        <w:t>國內法規修訂情形及對我在越</w:t>
      </w:r>
      <w:proofErr w:type="gramStart"/>
      <w:r w:rsidR="00BD571A" w:rsidRPr="00BD571A">
        <w:rPr>
          <w:rFonts w:eastAsia="標楷體"/>
          <w:b/>
          <w:sz w:val="32"/>
          <w:szCs w:val="32"/>
        </w:rPr>
        <w:t>臺</w:t>
      </w:r>
      <w:proofErr w:type="gramEnd"/>
      <w:r w:rsidR="00BD571A" w:rsidRPr="00BD571A">
        <w:rPr>
          <w:rFonts w:eastAsia="標楷體"/>
          <w:b/>
          <w:sz w:val="32"/>
          <w:szCs w:val="32"/>
        </w:rPr>
        <w:t>商可能影響情形</w:t>
      </w:r>
    </w:p>
    <w:p w:rsidR="00BD571A" w:rsidRPr="00BD571A" w:rsidRDefault="00BD571A" w:rsidP="00BD571A">
      <w:pPr>
        <w:spacing w:line="500" w:lineRule="exact"/>
        <w:rPr>
          <w:rFonts w:eastAsia="標楷體"/>
          <w:sz w:val="32"/>
          <w:szCs w:val="32"/>
        </w:rPr>
      </w:pPr>
      <w:bookmarkStart w:id="0" w:name="_GoBack"/>
      <w:bookmarkEnd w:id="0"/>
    </w:p>
    <w:p w:rsidR="00BD571A" w:rsidRPr="00BD571A" w:rsidRDefault="00BD571A" w:rsidP="00577ECE">
      <w:pPr>
        <w:pStyle w:val="a"/>
        <w:ind w:left="644"/>
        <w:rPr>
          <w:rFonts w:ascii="Times New Roman" w:hAnsi="Times New Roman"/>
        </w:rPr>
      </w:pPr>
      <w:r w:rsidRPr="00BD571A">
        <w:rPr>
          <w:rFonts w:ascii="Times New Roman" w:hAnsi="Times New Roman"/>
        </w:rPr>
        <w:t>跨太平洋夥伴協定</w:t>
      </w:r>
      <w:r w:rsidRPr="00BD571A">
        <w:rPr>
          <w:rFonts w:ascii="Times New Roman" w:hAnsi="Times New Roman"/>
        </w:rPr>
        <w:t>(TPP)</w:t>
      </w:r>
      <w:r w:rsidRPr="00BD571A">
        <w:rPr>
          <w:rFonts w:ascii="Times New Roman" w:hAnsi="Times New Roman"/>
        </w:rPr>
        <w:t>標榜為高品質及高標準之協定，所有部門均須納入，議題範圍超越</w:t>
      </w:r>
      <w:r w:rsidRPr="00BD571A">
        <w:rPr>
          <w:rFonts w:ascii="Times New Roman" w:hAnsi="Times New Roman"/>
        </w:rPr>
        <w:t xml:space="preserve"> WTO</w:t>
      </w:r>
      <w:r w:rsidRPr="00BD571A">
        <w:rPr>
          <w:rFonts w:ascii="Times New Roman" w:hAnsi="Times New Roman"/>
        </w:rPr>
        <w:t>，並納入超出傳統自由貿易協定之新興議題，如環保及勞工議題等，且未來將與時俱進，不斷納入新的貿易議題，目前預計最快於</w:t>
      </w:r>
      <w:r w:rsidRPr="00BD571A">
        <w:rPr>
          <w:rFonts w:ascii="Times New Roman" w:hAnsi="Times New Roman"/>
        </w:rPr>
        <w:t>2018</w:t>
      </w:r>
      <w:r w:rsidRPr="00BD571A">
        <w:rPr>
          <w:rFonts w:ascii="Times New Roman" w:hAnsi="Times New Roman"/>
        </w:rPr>
        <w:t>年上旬生效。</w:t>
      </w:r>
    </w:p>
    <w:p w:rsidR="00BD571A" w:rsidRPr="00BD571A" w:rsidRDefault="00BD571A" w:rsidP="00577ECE">
      <w:pPr>
        <w:pStyle w:val="a"/>
        <w:ind w:left="644"/>
        <w:rPr>
          <w:rFonts w:ascii="Times New Roman" w:hAnsi="Times New Roman"/>
        </w:rPr>
      </w:pPr>
      <w:r w:rsidRPr="00BD571A">
        <w:rPr>
          <w:rFonts w:ascii="Times New Roman" w:hAnsi="Times New Roman"/>
        </w:rPr>
        <w:t>越南近年持續進行經濟體制改革，經由修法</w:t>
      </w:r>
      <w:r w:rsidR="006C47C4">
        <w:rPr>
          <w:rFonts w:ascii="Times New Roman" w:hAnsi="Times New Roman" w:hint="eastAsia"/>
        </w:rPr>
        <w:t>來</w:t>
      </w:r>
      <w:r w:rsidRPr="00BD571A">
        <w:rPr>
          <w:rFonts w:ascii="Times New Roman" w:hAnsi="Times New Roman"/>
        </w:rPr>
        <w:t>加速市場開放</w:t>
      </w:r>
      <w:r w:rsidR="006C47C4">
        <w:rPr>
          <w:rFonts w:ascii="Times New Roman" w:hAnsi="Times New Roman" w:hint="eastAsia"/>
        </w:rPr>
        <w:t>程度</w:t>
      </w:r>
      <w:r w:rsidRPr="00BD571A">
        <w:rPr>
          <w:rFonts w:ascii="Times New Roman" w:hAnsi="Times New Roman"/>
        </w:rPr>
        <w:t>及</w:t>
      </w:r>
      <w:r w:rsidR="006C47C4">
        <w:rPr>
          <w:rFonts w:ascii="Times New Roman" w:hAnsi="Times New Roman" w:hint="eastAsia"/>
        </w:rPr>
        <w:t>改善</w:t>
      </w:r>
      <w:r w:rsidRPr="00BD571A">
        <w:rPr>
          <w:rFonts w:ascii="Times New Roman" w:hAnsi="Times New Roman"/>
        </w:rPr>
        <w:t>競爭</w:t>
      </w:r>
      <w:r w:rsidR="006C47C4">
        <w:rPr>
          <w:rFonts w:ascii="Times New Roman" w:hAnsi="Times New Roman" w:hint="eastAsia"/>
        </w:rPr>
        <w:t>環境</w:t>
      </w:r>
      <w:r w:rsidRPr="00BD571A">
        <w:rPr>
          <w:rFonts w:ascii="Times New Roman" w:hAnsi="Times New Roman"/>
        </w:rPr>
        <w:t>，</w:t>
      </w:r>
      <w:r w:rsidR="006C47C4" w:rsidRPr="00C020C5">
        <w:rPr>
          <w:rFonts w:ascii="Times New Roman" w:hAnsi="Times New Roman" w:hint="eastAsia"/>
        </w:rPr>
        <w:t>已取得一定之成績</w:t>
      </w:r>
      <w:r w:rsidR="006C47C4">
        <w:rPr>
          <w:rFonts w:ascii="Times New Roman" w:hAnsi="Times New Roman" w:hint="eastAsia"/>
        </w:rPr>
        <w:t>，</w:t>
      </w:r>
      <w:r w:rsidRPr="00BD571A">
        <w:rPr>
          <w:rFonts w:ascii="Times New Roman" w:hAnsi="Times New Roman"/>
        </w:rPr>
        <w:t>惟為符合</w:t>
      </w:r>
      <w:r w:rsidRPr="00BD571A">
        <w:rPr>
          <w:rFonts w:ascii="Times New Roman" w:hAnsi="Times New Roman"/>
        </w:rPr>
        <w:t>TPP</w:t>
      </w:r>
      <w:r w:rsidR="006C47C4">
        <w:rPr>
          <w:rFonts w:ascii="Times New Roman" w:hAnsi="Times New Roman"/>
        </w:rPr>
        <w:t>協定內容</w:t>
      </w:r>
      <w:r w:rsidR="006C47C4">
        <w:rPr>
          <w:rFonts w:ascii="Times New Roman" w:hAnsi="Times New Roman" w:hint="eastAsia"/>
        </w:rPr>
        <w:t>，尚需持續努力，</w:t>
      </w:r>
      <w:r w:rsidR="006C47C4">
        <w:rPr>
          <w:rFonts w:ascii="Times New Roman" w:hAnsi="Times New Roman"/>
        </w:rPr>
        <w:t>其中</w:t>
      </w:r>
      <w:r w:rsidRPr="00BD571A">
        <w:rPr>
          <w:rFonts w:ascii="Times New Roman" w:hAnsi="Times New Roman"/>
        </w:rPr>
        <w:t>投資及勞工</w:t>
      </w:r>
      <w:r w:rsidR="006C47C4">
        <w:rPr>
          <w:rFonts w:ascii="Times New Roman" w:hAnsi="Times New Roman" w:hint="eastAsia"/>
        </w:rPr>
        <w:t>法規修訂情形如下</w:t>
      </w:r>
      <w:r w:rsidRPr="00BD571A">
        <w:rPr>
          <w:rFonts w:ascii="Times New Roman" w:hAnsi="Times New Roman"/>
        </w:rPr>
        <w:t>：</w:t>
      </w:r>
    </w:p>
    <w:p w:rsidR="00BD571A" w:rsidRPr="00BD571A" w:rsidRDefault="00BD571A" w:rsidP="00BD571A">
      <w:pPr>
        <w:pStyle w:val="a"/>
        <w:numPr>
          <w:ilvl w:val="1"/>
          <w:numId w:val="1"/>
        </w:numPr>
        <w:ind w:left="993"/>
        <w:rPr>
          <w:rFonts w:ascii="Times New Roman" w:hAnsi="Times New Roman"/>
        </w:rPr>
      </w:pPr>
      <w:r w:rsidRPr="00BD571A">
        <w:rPr>
          <w:rFonts w:ascii="Times New Roman" w:hAnsi="Times New Roman"/>
          <w:b/>
          <w:u w:val="single"/>
        </w:rPr>
        <w:t>投資</w:t>
      </w:r>
    </w:p>
    <w:p w:rsidR="00BD571A" w:rsidRPr="00BD571A" w:rsidRDefault="00C020C5" w:rsidP="00C020C5">
      <w:pPr>
        <w:pStyle w:val="a"/>
        <w:numPr>
          <w:ilvl w:val="2"/>
          <w:numId w:val="1"/>
        </w:numPr>
        <w:ind w:left="1418"/>
        <w:rPr>
          <w:rFonts w:ascii="Times New Roman" w:hAnsi="Times New Roman"/>
        </w:rPr>
      </w:pPr>
      <w:r w:rsidRPr="00C020C5">
        <w:rPr>
          <w:rFonts w:hint="eastAsia"/>
        </w:rPr>
        <w:t>越南</w:t>
      </w:r>
      <w:r w:rsidRPr="00C020C5">
        <w:rPr>
          <w:rFonts w:ascii="Times New Roman" w:hAnsi="Times New Roman" w:hint="eastAsia"/>
        </w:rPr>
        <w:t>「投資法修正案」及「企業法修正案」自</w:t>
      </w:r>
      <w:r w:rsidRPr="00C020C5">
        <w:rPr>
          <w:rFonts w:ascii="Times New Roman" w:hAnsi="Times New Roman" w:hint="eastAsia"/>
        </w:rPr>
        <w:t>2015</w:t>
      </w:r>
      <w:r w:rsidRPr="00C020C5">
        <w:rPr>
          <w:rFonts w:ascii="Times New Roman" w:hAnsi="Times New Roman" w:hint="eastAsia"/>
        </w:rPr>
        <w:t>年</w:t>
      </w:r>
      <w:r w:rsidRPr="00C020C5">
        <w:rPr>
          <w:rFonts w:ascii="Times New Roman" w:hAnsi="Times New Roman" w:hint="eastAsia"/>
        </w:rPr>
        <w:t>7</w:t>
      </w:r>
      <w:r w:rsidRPr="00C020C5">
        <w:rPr>
          <w:rFonts w:ascii="Times New Roman" w:hAnsi="Times New Roman" w:hint="eastAsia"/>
        </w:rPr>
        <w:t>月</w:t>
      </w:r>
      <w:r w:rsidRPr="00C020C5">
        <w:rPr>
          <w:rFonts w:ascii="Times New Roman" w:hAnsi="Times New Roman" w:hint="eastAsia"/>
        </w:rPr>
        <w:t>1</w:t>
      </w:r>
      <w:r w:rsidRPr="00C020C5">
        <w:rPr>
          <w:rFonts w:ascii="Times New Roman" w:hAnsi="Times New Roman" w:hint="eastAsia"/>
        </w:rPr>
        <w:t>日起</w:t>
      </w:r>
      <w:r>
        <w:rPr>
          <w:rFonts w:ascii="Times New Roman" w:hAnsi="Times New Roman" w:hint="eastAsia"/>
        </w:rPr>
        <w:t>正式生效，投資法修正重點為允許投資項目由正面表列改為負面表列，即</w:t>
      </w:r>
      <w:r w:rsidRPr="00C020C5">
        <w:rPr>
          <w:rFonts w:ascii="Times New Roman" w:hAnsi="Times New Roman" w:hint="eastAsia"/>
        </w:rPr>
        <w:t>除法律禁止外，其餘項目均准許投資，惟仍應受限制項目之條件規範。企業法則是加快新企業設立程序，確保投資者及股東的合法權益，並減少企業撤出越南市場時的成本。</w:t>
      </w:r>
    </w:p>
    <w:p w:rsidR="00C020C5" w:rsidRDefault="00C020C5" w:rsidP="00C020C5">
      <w:pPr>
        <w:pStyle w:val="a"/>
        <w:numPr>
          <w:ilvl w:val="2"/>
          <w:numId w:val="1"/>
        </w:numPr>
        <w:ind w:left="1418"/>
        <w:rPr>
          <w:rFonts w:ascii="Times New Roman" w:hAnsi="Times New Roman"/>
        </w:rPr>
      </w:pPr>
      <w:r w:rsidRPr="00C020C5">
        <w:rPr>
          <w:rFonts w:ascii="Times New Roman" w:hAnsi="Times New Roman" w:hint="eastAsia"/>
        </w:rPr>
        <w:t>上述法規修正旨在為越南招商引資政策添加動力，並促進經營生產活動持續發展，與</w:t>
      </w:r>
      <w:r w:rsidRPr="00C020C5">
        <w:rPr>
          <w:rFonts w:ascii="Times New Roman" w:hAnsi="Times New Roman" w:hint="eastAsia"/>
        </w:rPr>
        <w:t>TPP</w:t>
      </w:r>
      <w:r w:rsidRPr="00C020C5">
        <w:rPr>
          <w:rFonts w:ascii="Times New Roman" w:hAnsi="Times New Roman" w:hint="eastAsia"/>
        </w:rPr>
        <w:t>協定之開放市場精神一致，因此越南政府在修法上方向甚為明確，即積極符合</w:t>
      </w:r>
      <w:r w:rsidRPr="00C020C5">
        <w:rPr>
          <w:rFonts w:ascii="Times New Roman" w:hAnsi="Times New Roman" w:hint="eastAsia"/>
        </w:rPr>
        <w:t>TPP</w:t>
      </w:r>
      <w:r w:rsidRPr="00C020C5">
        <w:rPr>
          <w:rFonts w:ascii="Times New Roman" w:hAnsi="Times New Roman" w:hint="eastAsia"/>
        </w:rPr>
        <w:t>之規範，而施政重點則轉移為如何提高民眾對</w:t>
      </w:r>
      <w:r w:rsidRPr="00C020C5">
        <w:rPr>
          <w:rFonts w:ascii="Times New Roman" w:hAnsi="Times New Roman" w:hint="eastAsia"/>
        </w:rPr>
        <w:t>TPP</w:t>
      </w:r>
      <w:r w:rsidRPr="00C020C5">
        <w:rPr>
          <w:rFonts w:ascii="Times New Roman" w:hAnsi="Times New Roman" w:hint="eastAsia"/>
        </w:rPr>
        <w:t>之認識及利用率，同時提供管理輔導措施，協助本土弱勢產業面對經濟整合所產生之競爭壓力。故</w:t>
      </w:r>
      <w:r w:rsidRPr="00C020C5">
        <w:rPr>
          <w:rFonts w:ascii="Times New Roman" w:hAnsi="Times New Roman" w:hint="eastAsia"/>
        </w:rPr>
        <w:t>TPP</w:t>
      </w:r>
      <w:r w:rsidRPr="00C020C5">
        <w:rPr>
          <w:rFonts w:ascii="Times New Roman" w:hAnsi="Times New Roman" w:hint="eastAsia"/>
        </w:rPr>
        <w:t>於</w:t>
      </w:r>
      <w:r w:rsidRPr="00C020C5">
        <w:rPr>
          <w:rFonts w:ascii="Times New Roman" w:hAnsi="Times New Roman" w:hint="eastAsia"/>
        </w:rPr>
        <w:t>2015</w:t>
      </w:r>
      <w:r w:rsidRPr="00C020C5">
        <w:rPr>
          <w:rFonts w:ascii="Times New Roman" w:hAnsi="Times New Roman" w:hint="eastAsia"/>
        </w:rPr>
        <w:t>年</w:t>
      </w:r>
      <w:r w:rsidRPr="00C020C5">
        <w:rPr>
          <w:rFonts w:ascii="Times New Roman" w:hAnsi="Times New Roman" w:hint="eastAsia"/>
        </w:rPr>
        <w:t>10</w:t>
      </w:r>
      <w:r w:rsidRPr="00C020C5">
        <w:rPr>
          <w:rFonts w:ascii="Times New Roman" w:hAnsi="Times New Roman" w:hint="eastAsia"/>
        </w:rPr>
        <w:t>月</w:t>
      </w:r>
      <w:r w:rsidRPr="00C020C5">
        <w:rPr>
          <w:rFonts w:ascii="Times New Roman" w:hAnsi="Times New Roman" w:hint="eastAsia"/>
        </w:rPr>
        <w:t>5</w:t>
      </w:r>
      <w:r w:rsidRPr="00C020C5">
        <w:rPr>
          <w:rFonts w:ascii="Times New Roman" w:hAnsi="Times New Roman" w:hint="eastAsia"/>
        </w:rPr>
        <w:t>日完成實質談判後，越南政府除向民眾正式公開</w:t>
      </w:r>
      <w:r w:rsidRPr="00C020C5">
        <w:rPr>
          <w:rFonts w:ascii="Times New Roman" w:hAnsi="Times New Roman" w:hint="eastAsia"/>
        </w:rPr>
        <w:t>TPP</w:t>
      </w:r>
      <w:r w:rsidRPr="00C020C5">
        <w:rPr>
          <w:rFonts w:ascii="Times New Roman" w:hAnsi="Times New Roman" w:hint="eastAsia"/>
        </w:rPr>
        <w:t>全文外，僅要求相關部會進行法律規定檢視，俾儘快完成批准程序。</w:t>
      </w:r>
    </w:p>
    <w:p w:rsidR="00C020C5" w:rsidRPr="00C020C5" w:rsidRDefault="00C020C5" w:rsidP="00C020C5">
      <w:pPr>
        <w:pStyle w:val="a"/>
        <w:numPr>
          <w:ilvl w:val="2"/>
          <w:numId w:val="1"/>
        </w:numPr>
        <w:ind w:left="1418"/>
        <w:rPr>
          <w:rFonts w:ascii="Times New Roman" w:hAnsi="Times New Roman"/>
        </w:rPr>
      </w:pPr>
      <w:r w:rsidRPr="00C020C5">
        <w:rPr>
          <w:rFonts w:ascii="標楷體" w:hAnsi="標楷體" w:hint="eastAsia"/>
          <w:sz w:val="30"/>
          <w:szCs w:val="30"/>
        </w:rPr>
        <w:lastRenderedPageBreak/>
        <w:t>事實上，根據</w:t>
      </w:r>
      <w:r w:rsidRPr="00C020C5">
        <w:rPr>
          <w:rFonts w:ascii="Times New Roman" w:hAnsi="Times New Roman"/>
          <w:sz w:val="30"/>
          <w:szCs w:val="30"/>
        </w:rPr>
        <w:t>TPP</w:t>
      </w:r>
      <w:r w:rsidRPr="00C020C5">
        <w:rPr>
          <w:rFonts w:ascii="標楷體" w:hAnsi="標楷體" w:hint="eastAsia"/>
          <w:sz w:val="30"/>
          <w:szCs w:val="30"/>
        </w:rPr>
        <w:t>協定，其「投資專章」對</w:t>
      </w:r>
      <w:r w:rsidRPr="00C020C5">
        <w:rPr>
          <w:rFonts w:ascii="Times New Roman" w:hAnsi="Times New Roman"/>
          <w:sz w:val="30"/>
          <w:szCs w:val="30"/>
        </w:rPr>
        <w:t>TPP</w:t>
      </w:r>
      <w:r w:rsidRPr="00C020C5">
        <w:rPr>
          <w:rFonts w:ascii="標楷體" w:hAnsi="標楷體" w:hint="eastAsia"/>
          <w:sz w:val="30"/>
          <w:szCs w:val="30"/>
        </w:rPr>
        <w:t>國家的投資者及其投資提供實質的法律保護，例如</w:t>
      </w:r>
      <w:r w:rsidRPr="00C020C5">
        <w:rPr>
          <w:rFonts w:ascii="Times New Roman" w:hAnsi="Times New Roman"/>
          <w:sz w:val="30"/>
          <w:szCs w:val="30"/>
        </w:rPr>
        <w:t>TPP</w:t>
      </w:r>
      <w:r w:rsidRPr="00C020C5">
        <w:rPr>
          <w:rFonts w:ascii="標楷體" w:hAnsi="標楷體" w:hint="eastAsia"/>
          <w:sz w:val="30"/>
          <w:szCs w:val="30"/>
        </w:rPr>
        <w:t>協定允許外國投資者與東道國政府發生爭端時，可以將爭端提交國際仲裁機構的</w:t>
      </w:r>
      <w:r w:rsidRPr="00C020C5">
        <w:rPr>
          <w:rFonts w:ascii="Times New Roman" w:hAnsi="Times New Roman"/>
          <w:sz w:val="30"/>
          <w:szCs w:val="30"/>
        </w:rPr>
        <w:t>ISDS(Investor-State Dispute Settlement)</w:t>
      </w:r>
      <w:r w:rsidRPr="00C020C5">
        <w:rPr>
          <w:rFonts w:ascii="標楷體" w:hAnsi="標楷體" w:hint="eastAsia"/>
          <w:sz w:val="30"/>
          <w:szCs w:val="30"/>
        </w:rPr>
        <w:t>機制來裁定，其他相關條款包括不歧視、最低待遇標準、徵用土地規則，與禁止可能扭曲貿易和投資之特定績效要求等。因此</w:t>
      </w:r>
      <w:r w:rsidRPr="00C020C5">
        <w:rPr>
          <w:rFonts w:ascii="Times New Roman" w:hAnsi="Times New Roman"/>
          <w:sz w:val="30"/>
          <w:szCs w:val="30"/>
        </w:rPr>
        <w:t>TPP</w:t>
      </w:r>
      <w:r w:rsidRPr="00C020C5">
        <w:rPr>
          <w:rFonts w:ascii="標楷體" w:hAnsi="標楷體" w:hint="eastAsia"/>
          <w:sz w:val="30"/>
          <w:szCs w:val="30"/>
        </w:rPr>
        <w:t>對成員國的投資者及其投資，提供實質的法律保護，基本對外國投資者有正面影響，越南相關修法亦將是朝保障外商投資人的面向進行，對日本等</w:t>
      </w:r>
      <w:r w:rsidRPr="00C020C5">
        <w:rPr>
          <w:rFonts w:ascii="Times New Roman" w:hAnsi="Times New Roman"/>
          <w:sz w:val="30"/>
          <w:szCs w:val="30"/>
        </w:rPr>
        <w:t>TPP</w:t>
      </w:r>
      <w:r w:rsidRPr="00C020C5">
        <w:rPr>
          <w:rFonts w:ascii="標楷體" w:hAnsi="標楷體" w:hint="eastAsia"/>
          <w:sz w:val="30"/>
          <w:szCs w:val="30"/>
        </w:rPr>
        <w:t>成員國外商誠屬有利，而我國及韓國等外商亦可間接經由修法而獲得保障。故經側面了解，日、韓等外商均樂見越南為完全落實</w:t>
      </w:r>
      <w:r w:rsidRPr="00C020C5">
        <w:rPr>
          <w:rFonts w:ascii="Times New Roman" w:hAnsi="Times New Roman"/>
          <w:sz w:val="30"/>
          <w:szCs w:val="30"/>
        </w:rPr>
        <w:t>TPP</w:t>
      </w:r>
      <w:r w:rsidRPr="00C020C5">
        <w:rPr>
          <w:rFonts w:ascii="標楷體" w:hAnsi="標楷體" w:hint="eastAsia"/>
          <w:sz w:val="30"/>
          <w:szCs w:val="30"/>
        </w:rPr>
        <w:t>而進行修法。</w:t>
      </w:r>
    </w:p>
    <w:p w:rsidR="00BD571A" w:rsidRPr="00BD571A" w:rsidRDefault="00BD571A" w:rsidP="00BD571A">
      <w:pPr>
        <w:pStyle w:val="a"/>
        <w:numPr>
          <w:ilvl w:val="1"/>
          <w:numId w:val="1"/>
        </w:numPr>
        <w:ind w:left="993"/>
        <w:rPr>
          <w:rFonts w:ascii="Times New Roman" w:hAnsi="Times New Roman"/>
        </w:rPr>
      </w:pPr>
      <w:r w:rsidRPr="00BD571A">
        <w:rPr>
          <w:rFonts w:ascii="Times New Roman" w:hAnsi="Times New Roman"/>
          <w:b/>
          <w:u w:val="single"/>
        </w:rPr>
        <w:t>勞工</w:t>
      </w:r>
    </w:p>
    <w:p w:rsidR="00BD571A" w:rsidRPr="00BD571A" w:rsidRDefault="00001D6F" w:rsidP="00577ECE">
      <w:pPr>
        <w:pStyle w:val="a"/>
        <w:numPr>
          <w:ilvl w:val="2"/>
          <w:numId w:val="1"/>
        </w:numPr>
        <w:ind w:left="1418"/>
        <w:rPr>
          <w:rFonts w:ascii="Times New Roman" w:hAnsi="Times New Roman"/>
        </w:rPr>
      </w:pPr>
      <w:r>
        <w:rPr>
          <w:rFonts w:hint="eastAsia"/>
        </w:rPr>
        <w:t>越南已自</w:t>
      </w:r>
      <w:r>
        <w:rPr>
          <w:rFonts w:hint="eastAsia"/>
        </w:rPr>
        <w:t>1992</w:t>
      </w:r>
      <w:r>
        <w:rPr>
          <w:rFonts w:hint="eastAsia"/>
        </w:rPr>
        <w:t>年起成為國際勞動組織</w:t>
      </w:r>
      <w:r>
        <w:rPr>
          <w:rFonts w:hint="eastAsia"/>
        </w:rPr>
        <w:t>(ILO)</w:t>
      </w:r>
      <w:r>
        <w:rPr>
          <w:rFonts w:hint="eastAsia"/>
        </w:rPr>
        <w:t>會員國，並已採取主動行動計畫，以執行</w:t>
      </w:r>
      <w:r>
        <w:rPr>
          <w:rFonts w:hint="eastAsia"/>
        </w:rPr>
        <w:t>ILO</w:t>
      </w:r>
      <w:r>
        <w:rPr>
          <w:rFonts w:hint="eastAsia"/>
        </w:rPr>
        <w:t>協定有關勞動領域規定。而</w:t>
      </w:r>
      <w:r>
        <w:rPr>
          <w:rFonts w:hint="eastAsia"/>
        </w:rPr>
        <w:t>TPP</w:t>
      </w:r>
      <w:r>
        <w:rPr>
          <w:rFonts w:hint="eastAsia"/>
        </w:rPr>
        <w:t>協定對勞動規範的主要內容則包括廢除強迫性勞工、童工、勞動區別對待；確保基本薪資、作業時間及職場安全之勞動條件</w:t>
      </w:r>
      <w:r w:rsidR="00BD571A" w:rsidRPr="00BD571A">
        <w:rPr>
          <w:rFonts w:ascii="Times New Roman" w:hAnsi="Times New Roman"/>
        </w:rPr>
        <w:t>。</w:t>
      </w:r>
    </w:p>
    <w:p w:rsidR="00BD571A" w:rsidRPr="00577ECE" w:rsidRDefault="00001D6F" w:rsidP="00577ECE">
      <w:pPr>
        <w:pStyle w:val="a"/>
        <w:numPr>
          <w:ilvl w:val="2"/>
          <w:numId w:val="1"/>
        </w:numPr>
        <w:ind w:left="1418"/>
      </w:pPr>
      <w:r>
        <w:rPr>
          <w:rFonts w:hint="eastAsia"/>
        </w:rPr>
        <w:t>此外，美國與越南為落實</w:t>
      </w:r>
      <w:r>
        <w:rPr>
          <w:rFonts w:hint="eastAsia"/>
        </w:rPr>
        <w:t>TPP</w:t>
      </w:r>
      <w:r>
        <w:rPr>
          <w:rFonts w:hint="eastAsia"/>
        </w:rPr>
        <w:t>第</w:t>
      </w:r>
      <w:r>
        <w:rPr>
          <w:rFonts w:hint="eastAsia"/>
        </w:rPr>
        <w:t>19</w:t>
      </w:r>
      <w:r>
        <w:rPr>
          <w:rFonts w:hint="eastAsia"/>
        </w:rPr>
        <w:t>章勞工規定而簽署之「美越提升貿易與勞工關係計畫」</w:t>
      </w:r>
      <w:r>
        <w:rPr>
          <w:rFonts w:hint="eastAsia"/>
        </w:rPr>
        <w:t>(United States-Viet Nam Plan for the Enhancement of Trade and Labour Relations) (</w:t>
      </w:r>
      <w:r>
        <w:rPr>
          <w:rFonts w:hint="eastAsia"/>
        </w:rPr>
        <w:t>視同協定</w:t>
      </w:r>
      <w:r>
        <w:rPr>
          <w:rFonts w:hint="eastAsia"/>
        </w:rPr>
        <w:t>)</w:t>
      </w:r>
      <w:r>
        <w:rPr>
          <w:rFonts w:hint="eastAsia"/>
        </w:rPr>
        <w:t>規定，越南必須允許勞工成立獨立工會，確保工會享有自主權、勞工享有符合權益及合理之罷工權等，以促進國際公認之勞工權利。雖然越南勞動法律系統已有相關規範，基本上亦已符合</w:t>
      </w:r>
      <w:r>
        <w:rPr>
          <w:rFonts w:hint="eastAsia"/>
        </w:rPr>
        <w:t>ILO</w:t>
      </w:r>
      <w:r>
        <w:rPr>
          <w:rFonts w:hint="eastAsia"/>
        </w:rPr>
        <w:t>規範及越南洽簽</w:t>
      </w:r>
      <w:r>
        <w:rPr>
          <w:rFonts w:hint="eastAsia"/>
        </w:rPr>
        <w:t>TPP</w:t>
      </w:r>
      <w:r>
        <w:rPr>
          <w:rFonts w:hint="eastAsia"/>
        </w:rPr>
        <w:t>所承諾內容，惟目前越南仍須研擬修訂勞動法及工會法等相關法令，以符合</w:t>
      </w:r>
      <w:r>
        <w:rPr>
          <w:rFonts w:hint="eastAsia"/>
        </w:rPr>
        <w:t>ILO</w:t>
      </w:r>
      <w:r>
        <w:rPr>
          <w:rFonts w:hint="eastAsia"/>
        </w:rPr>
        <w:t>、</w:t>
      </w:r>
      <w:r>
        <w:rPr>
          <w:rFonts w:hint="eastAsia"/>
        </w:rPr>
        <w:t>TPP</w:t>
      </w:r>
      <w:r>
        <w:rPr>
          <w:rFonts w:hint="eastAsia"/>
        </w:rPr>
        <w:t>、「美越提</w:t>
      </w:r>
      <w:r>
        <w:rPr>
          <w:rFonts w:hint="eastAsia"/>
        </w:rPr>
        <w:lastRenderedPageBreak/>
        <w:t>升貿易與勞工關係計畫」之規範勞動內容及承諾</w:t>
      </w:r>
      <w:r w:rsidR="00BD571A" w:rsidRPr="00577ECE">
        <w:t>。</w:t>
      </w:r>
    </w:p>
    <w:p w:rsidR="00001D6F" w:rsidRPr="00577ECE" w:rsidRDefault="00001D6F" w:rsidP="00577ECE">
      <w:pPr>
        <w:pStyle w:val="a"/>
        <w:numPr>
          <w:ilvl w:val="2"/>
          <w:numId w:val="1"/>
        </w:numPr>
        <w:ind w:left="1418"/>
      </w:pPr>
      <w:r>
        <w:rPr>
          <w:rFonts w:hint="eastAsia"/>
        </w:rPr>
        <w:t>在越南政府對修改勞動法之立場方面，該國對勞工成立與參加勞工代表組織行使權利予以肯定，因為依據</w:t>
      </w:r>
      <w:r>
        <w:rPr>
          <w:rFonts w:hint="eastAsia"/>
        </w:rPr>
        <w:t>ILO</w:t>
      </w:r>
      <w:r>
        <w:rPr>
          <w:rFonts w:hint="eastAsia"/>
        </w:rPr>
        <w:t>及</w:t>
      </w:r>
      <w:r>
        <w:rPr>
          <w:rFonts w:hint="eastAsia"/>
        </w:rPr>
        <w:t>TPP</w:t>
      </w:r>
      <w:r>
        <w:rPr>
          <w:rFonts w:hint="eastAsia"/>
        </w:rPr>
        <w:t>規定，</w:t>
      </w:r>
      <w:r>
        <w:rPr>
          <w:rFonts w:hint="eastAsia"/>
        </w:rPr>
        <w:t>ILO</w:t>
      </w:r>
      <w:r>
        <w:rPr>
          <w:rFonts w:hint="eastAsia"/>
        </w:rPr>
        <w:t>和</w:t>
      </w:r>
      <w:r>
        <w:rPr>
          <w:rFonts w:hint="eastAsia"/>
        </w:rPr>
        <w:t>TPP</w:t>
      </w:r>
      <w:r>
        <w:rPr>
          <w:rFonts w:hint="eastAsia"/>
        </w:rPr>
        <w:t>所有會員國</w:t>
      </w:r>
      <w:r>
        <w:rPr>
          <w:rFonts w:hint="eastAsia"/>
        </w:rPr>
        <w:t>(</w:t>
      </w:r>
      <w:r>
        <w:rPr>
          <w:rFonts w:hint="eastAsia"/>
        </w:rPr>
        <w:t>含越南</w:t>
      </w:r>
      <w:r>
        <w:rPr>
          <w:rFonts w:hint="eastAsia"/>
        </w:rPr>
        <w:t>)</w:t>
      </w:r>
      <w:r>
        <w:rPr>
          <w:rFonts w:hint="eastAsia"/>
        </w:rPr>
        <w:t>均須尊重勞工於企業成立並參加勞工代表組織的權利。</w:t>
      </w:r>
    </w:p>
    <w:p w:rsidR="00001D6F" w:rsidRPr="00577ECE" w:rsidRDefault="00001D6F" w:rsidP="00577ECE">
      <w:pPr>
        <w:pStyle w:val="a"/>
        <w:numPr>
          <w:ilvl w:val="2"/>
          <w:numId w:val="1"/>
        </w:numPr>
        <w:ind w:left="1418"/>
      </w:pPr>
      <w:r>
        <w:rPr>
          <w:rFonts w:hint="eastAsia"/>
        </w:rPr>
        <w:t>至於修法部分，根據「美越提升貿易與勞工關係計畫」之承諾，越南</w:t>
      </w:r>
      <w:r>
        <w:rPr>
          <w:rFonts w:hint="eastAsia"/>
        </w:rPr>
        <w:t>TPP</w:t>
      </w:r>
      <w:r>
        <w:rPr>
          <w:rFonts w:hint="eastAsia"/>
        </w:rPr>
        <w:t>自開始生效起有</w:t>
      </w:r>
      <w:r>
        <w:rPr>
          <w:rFonts w:hint="eastAsia"/>
        </w:rPr>
        <w:t>5</w:t>
      </w:r>
      <w:r>
        <w:rPr>
          <w:rFonts w:hint="eastAsia"/>
        </w:rPr>
        <w:t>年準備相關作業，越南政府將在該</w:t>
      </w:r>
      <w:r>
        <w:rPr>
          <w:rFonts w:hint="eastAsia"/>
        </w:rPr>
        <w:t>5</w:t>
      </w:r>
      <w:r>
        <w:rPr>
          <w:rFonts w:hint="eastAsia"/>
        </w:rPr>
        <w:t>年時間進行修訂相關法令及改進勞動管理組織，以保障勞工享受最佳之權益。又經洽據越南勞動部稱，該國將朝符合</w:t>
      </w:r>
      <w:r>
        <w:rPr>
          <w:rFonts w:hint="eastAsia"/>
        </w:rPr>
        <w:t>TPP</w:t>
      </w:r>
      <w:r>
        <w:rPr>
          <w:rFonts w:hint="eastAsia"/>
        </w:rPr>
        <w:t>及「美越提升貿易與勞工關係計畫」之方向調整相關法律，由於</w:t>
      </w:r>
      <w:r>
        <w:rPr>
          <w:rFonts w:hint="eastAsia"/>
        </w:rPr>
        <w:t>TPP</w:t>
      </w:r>
      <w:r>
        <w:rPr>
          <w:rFonts w:hint="eastAsia"/>
        </w:rPr>
        <w:t>最快始能於</w:t>
      </w:r>
      <w:r w:rsidR="002869E3">
        <w:rPr>
          <w:rFonts w:hint="eastAsia"/>
        </w:rPr>
        <w:t>2018</w:t>
      </w:r>
      <w:r>
        <w:rPr>
          <w:rFonts w:hint="eastAsia"/>
        </w:rPr>
        <w:t>年生效，該部目前僅進行法律檢視工作，尚未開始修法。</w:t>
      </w:r>
    </w:p>
    <w:p w:rsidR="00001D6F" w:rsidRPr="00001D6F" w:rsidRDefault="00001D6F" w:rsidP="00577ECE">
      <w:pPr>
        <w:pStyle w:val="a"/>
        <w:numPr>
          <w:ilvl w:val="2"/>
          <w:numId w:val="1"/>
        </w:numPr>
        <w:ind w:left="1418"/>
        <w:rPr>
          <w:rFonts w:ascii="Times New Roman" w:hAnsi="Times New Roman"/>
        </w:rPr>
      </w:pPr>
      <w:r>
        <w:rPr>
          <w:rFonts w:hint="eastAsia"/>
        </w:rPr>
        <w:t>有關旅越</w:t>
      </w:r>
      <w:r w:rsidR="00AB04B9">
        <w:rPr>
          <w:rFonts w:hint="eastAsia"/>
        </w:rPr>
        <w:t>臺</w:t>
      </w:r>
      <w:r>
        <w:rPr>
          <w:rFonts w:hint="eastAsia"/>
        </w:rPr>
        <w:t>商立場及影響權益部分，一般而言，</w:t>
      </w:r>
      <w:r w:rsidR="00AB04B9">
        <w:rPr>
          <w:rFonts w:hint="eastAsia"/>
        </w:rPr>
        <w:t>臺</w:t>
      </w:r>
      <w:r>
        <w:rPr>
          <w:rFonts w:hint="eastAsia"/>
        </w:rPr>
        <w:t>商所最關心者為是否將規範最低工資限制，以及是否會助長罷工情事發生。惟據瞭解，</w:t>
      </w:r>
      <w:r>
        <w:rPr>
          <w:rFonts w:hint="eastAsia"/>
        </w:rPr>
        <w:t>TPP</w:t>
      </w:r>
      <w:r>
        <w:rPr>
          <w:rFonts w:hint="eastAsia"/>
        </w:rPr>
        <w:t>及「美越提升貿易與勞工關係計畫」均無最低工資限制之規定。至於罷工部分，則是規範確保勞工獲得符合權益、合理之罷工權，與國際勞工組織宣言之精神及普世價值一致。對越南</w:t>
      </w:r>
      <w:r w:rsidR="00AB04B9">
        <w:rPr>
          <w:rFonts w:hint="eastAsia"/>
        </w:rPr>
        <w:t>臺</w:t>
      </w:r>
      <w:r>
        <w:rPr>
          <w:rFonts w:hint="eastAsia"/>
        </w:rPr>
        <w:t>商如寶成鞋廠等勞力密集產業而言，越南落實</w:t>
      </w:r>
      <w:r>
        <w:rPr>
          <w:rFonts w:hint="eastAsia"/>
        </w:rPr>
        <w:t>TPP</w:t>
      </w:r>
      <w:r>
        <w:rPr>
          <w:rFonts w:hint="eastAsia"/>
        </w:rPr>
        <w:t>及上述計畫實有長期利益，理由如次：</w:t>
      </w:r>
    </w:p>
    <w:p w:rsidR="00001D6F" w:rsidRDefault="00001D6F" w:rsidP="00577ECE">
      <w:pPr>
        <w:pStyle w:val="a"/>
        <w:numPr>
          <w:ilvl w:val="3"/>
          <w:numId w:val="1"/>
        </w:numPr>
        <w:ind w:left="1701"/>
      </w:pPr>
      <w:r>
        <w:rPr>
          <w:rFonts w:hint="eastAsia"/>
        </w:rPr>
        <w:t>由於渠等產品大部分係銷往美國，越南既向美承諾就勞動環境進行修法，則產品輸銷美國等符合</w:t>
      </w:r>
      <w:r>
        <w:rPr>
          <w:rFonts w:hint="eastAsia"/>
        </w:rPr>
        <w:t>labor standards</w:t>
      </w:r>
      <w:r>
        <w:rPr>
          <w:rFonts w:hint="eastAsia"/>
        </w:rPr>
        <w:t>則不虞受到美國貿易制裁。</w:t>
      </w:r>
    </w:p>
    <w:p w:rsidR="00001D6F" w:rsidRDefault="00001D6F" w:rsidP="00577ECE">
      <w:pPr>
        <w:pStyle w:val="a"/>
        <w:numPr>
          <w:ilvl w:val="3"/>
          <w:numId w:val="1"/>
        </w:numPr>
        <w:ind w:left="1701"/>
      </w:pPr>
      <w:r>
        <w:rPr>
          <w:rFonts w:hint="eastAsia"/>
        </w:rPr>
        <w:t>修法後越南罷工須具有正當基礎及符合國際勞工組織指導原則，有助於杜絕非法罷工情形，對我</w:t>
      </w:r>
      <w:r w:rsidR="00AB04B9">
        <w:rPr>
          <w:rFonts w:hint="eastAsia"/>
        </w:rPr>
        <w:t>臺</w:t>
      </w:r>
      <w:r>
        <w:rPr>
          <w:rFonts w:hint="eastAsia"/>
        </w:rPr>
        <w:t>商而言更具保障。</w:t>
      </w:r>
    </w:p>
    <w:p w:rsidR="00001D6F" w:rsidRPr="00BD571A" w:rsidRDefault="00001D6F" w:rsidP="00577ECE">
      <w:pPr>
        <w:pStyle w:val="a"/>
        <w:numPr>
          <w:ilvl w:val="2"/>
          <w:numId w:val="1"/>
        </w:numPr>
        <w:ind w:left="1418"/>
        <w:rPr>
          <w:rFonts w:ascii="Times New Roman" w:hAnsi="Times New Roman"/>
        </w:rPr>
      </w:pPr>
      <w:r>
        <w:rPr>
          <w:rFonts w:hint="eastAsia"/>
        </w:rPr>
        <w:lastRenderedPageBreak/>
        <w:t>目前並未聞日韓商對越落實</w:t>
      </w:r>
      <w:r>
        <w:rPr>
          <w:rFonts w:hint="eastAsia"/>
        </w:rPr>
        <w:t>TPP</w:t>
      </w:r>
      <w:r>
        <w:rPr>
          <w:rFonts w:hint="eastAsia"/>
        </w:rPr>
        <w:t>勞工章節有特定看法，惟</w:t>
      </w:r>
      <w:r w:rsidR="004F6454">
        <w:rPr>
          <w:rFonts w:hint="eastAsia"/>
        </w:rPr>
        <w:t>駐越南代表處經濟</w:t>
      </w:r>
      <w:r>
        <w:rPr>
          <w:rFonts w:hint="eastAsia"/>
        </w:rPr>
        <w:t>組與駐胡志明市</w:t>
      </w:r>
      <w:r w:rsidR="002869E3">
        <w:rPr>
          <w:rFonts w:hint="eastAsia"/>
        </w:rPr>
        <w:t>辦事處</w:t>
      </w:r>
      <w:r>
        <w:rPr>
          <w:rFonts w:hint="eastAsia"/>
        </w:rPr>
        <w:t>經濟組將持續掌握越南因應</w:t>
      </w:r>
      <w:r>
        <w:rPr>
          <w:rFonts w:hint="eastAsia"/>
        </w:rPr>
        <w:t>TPP</w:t>
      </w:r>
      <w:r>
        <w:rPr>
          <w:rFonts w:hint="eastAsia"/>
        </w:rPr>
        <w:t>所進行之各項法規修正進展，並與我越南</w:t>
      </w:r>
      <w:r w:rsidR="00AB04B9">
        <w:rPr>
          <w:rFonts w:hint="eastAsia"/>
        </w:rPr>
        <w:t>臺</w:t>
      </w:r>
      <w:r>
        <w:rPr>
          <w:rFonts w:hint="eastAsia"/>
        </w:rPr>
        <w:t>商組織及企業密切聯繫，適時反映我商意見及修法建議，爭取</w:t>
      </w:r>
      <w:r w:rsidR="00AB04B9">
        <w:rPr>
          <w:rFonts w:hint="eastAsia"/>
        </w:rPr>
        <w:t>臺</w:t>
      </w:r>
      <w:r>
        <w:rPr>
          <w:rFonts w:hint="eastAsia"/>
        </w:rPr>
        <w:t>商權益。</w:t>
      </w:r>
    </w:p>
    <w:p w:rsidR="004F6454" w:rsidRDefault="006C47C4" w:rsidP="006C47C4">
      <w:pPr>
        <w:pStyle w:val="a"/>
        <w:ind w:left="964"/>
      </w:pPr>
      <w:r>
        <w:rPr>
          <w:rFonts w:hint="eastAsia"/>
        </w:rPr>
        <w:t>為因應</w:t>
      </w:r>
      <w:r w:rsidR="00C020C5">
        <w:rPr>
          <w:rFonts w:hint="eastAsia"/>
        </w:rPr>
        <w:t>上述</w:t>
      </w:r>
      <w:r>
        <w:rPr>
          <w:rFonts w:hint="eastAsia"/>
        </w:rPr>
        <w:t>越南依據</w:t>
      </w:r>
      <w:r>
        <w:rPr>
          <w:rFonts w:hint="eastAsia"/>
        </w:rPr>
        <w:t>TPP</w:t>
      </w:r>
      <w:r w:rsidRPr="006C47C4">
        <w:rPr>
          <w:rFonts w:ascii="Times New Roman" w:hAnsi="Times New Roman" w:hint="eastAsia"/>
        </w:rPr>
        <w:t>規定進行國內法規修訂</w:t>
      </w:r>
      <w:r>
        <w:rPr>
          <w:rFonts w:ascii="Times New Roman" w:hAnsi="Times New Roman" w:hint="eastAsia"/>
        </w:rPr>
        <w:t>對我在越南臺商可能造成的影響</w:t>
      </w:r>
      <w:r w:rsidR="00C020C5">
        <w:rPr>
          <w:rFonts w:hint="eastAsia"/>
        </w:rPr>
        <w:t>，</w:t>
      </w:r>
      <w:r w:rsidR="00F23B82">
        <w:rPr>
          <w:rFonts w:hint="eastAsia"/>
        </w:rPr>
        <w:t>駐越南代表處經濟組及駐胡志明</w:t>
      </w:r>
      <w:r w:rsidR="002869E3">
        <w:rPr>
          <w:rFonts w:hint="eastAsia"/>
        </w:rPr>
        <w:t>市</w:t>
      </w:r>
      <w:r w:rsidR="00F23B82">
        <w:rPr>
          <w:rFonts w:hint="eastAsia"/>
        </w:rPr>
        <w:t>辦事處經濟組將持續：</w:t>
      </w:r>
    </w:p>
    <w:p w:rsidR="004F6454" w:rsidRDefault="00F23B82" w:rsidP="004F6454">
      <w:pPr>
        <w:pStyle w:val="a"/>
        <w:numPr>
          <w:ilvl w:val="1"/>
          <w:numId w:val="1"/>
        </w:numPr>
      </w:pPr>
      <w:r>
        <w:rPr>
          <w:rFonts w:hint="eastAsia"/>
        </w:rPr>
        <w:t>關注越南配合</w:t>
      </w:r>
      <w:r>
        <w:rPr>
          <w:rFonts w:hint="eastAsia"/>
        </w:rPr>
        <w:t>TPP</w:t>
      </w:r>
      <w:r>
        <w:rPr>
          <w:rFonts w:hint="eastAsia"/>
        </w:rPr>
        <w:t>之修法資訊，並隨時摘譯公布供國內及臺商參考；</w:t>
      </w:r>
    </w:p>
    <w:p w:rsidR="004F6454" w:rsidRDefault="00F23B82" w:rsidP="004F6454">
      <w:pPr>
        <w:pStyle w:val="a"/>
        <w:numPr>
          <w:ilvl w:val="1"/>
          <w:numId w:val="1"/>
        </w:numPr>
      </w:pPr>
      <w:r>
        <w:rPr>
          <w:rFonts w:hint="eastAsia"/>
        </w:rPr>
        <w:t>與越南</w:t>
      </w:r>
      <w:r w:rsidR="00AB04B9">
        <w:rPr>
          <w:rFonts w:hint="eastAsia"/>
        </w:rPr>
        <w:t>臺</w:t>
      </w:r>
      <w:r>
        <w:rPr>
          <w:rFonts w:hint="eastAsia"/>
        </w:rPr>
        <w:t>商組織密切合作；</w:t>
      </w:r>
    </w:p>
    <w:p w:rsidR="00C020C5" w:rsidRDefault="00F23B82" w:rsidP="004F6454">
      <w:pPr>
        <w:pStyle w:val="a"/>
        <w:numPr>
          <w:ilvl w:val="1"/>
          <w:numId w:val="1"/>
        </w:numPr>
      </w:pPr>
      <w:r>
        <w:rPr>
          <w:rFonts w:hint="eastAsia"/>
        </w:rPr>
        <w:t>透過與日、韓、美等其他在越商會之聯繫，共同合作維護外商在越南之利益。</w:t>
      </w:r>
    </w:p>
    <w:p w:rsidR="00BD571A" w:rsidRPr="00BD571A" w:rsidRDefault="00BD571A" w:rsidP="00BD571A">
      <w:pPr>
        <w:pStyle w:val="a"/>
        <w:ind w:left="964"/>
        <w:rPr>
          <w:rFonts w:ascii="Times New Roman" w:hAnsi="Times New Roman"/>
        </w:rPr>
      </w:pPr>
      <w:r w:rsidRPr="00BD571A">
        <w:rPr>
          <w:rFonts w:ascii="Times New Roman" w:hAnsi="Times New Roman"/>
        </w:rPr>
        <w:t>更多與</w:t>
      </w:r>
      <w:r w:rsidRPr="00BD571A">
        <w:rPr>
          <w:rFonts w:ascii="Times New Roman" w:hAnsi="Times New Roman"/>
        </w:rPr>
        <w:t>TPP</w:t>
      </w:r>
      <w:r w:rsidRPr="00BD571A">
        <w:rPr>
          <w:rFonts w:ascii="Times New Roman" w:hAnsi="Times New Roman"/>
        </w:rPr>
        <w:t>相關資料可參考本局「跨太平洋夥伴協定</w:t>
      </w:r>
      <w:r w:rsidRPr="00BD571A">
        <w:rPr>
          <w:rFonts w:ascii="Times New Roman" w:hAnsi="Times New Roman"/>
        </w:rPr>
        <w:t>(TPP)</w:t>
      </w:r>
      <w:r w:rsidRPr="00BD571A">
        <w:rPr>
          <w:rFonts w:ascii="Times New Roman" w:hAnsi="Times New Roman"/>
        </w:rPr>
        <w:t>專網」網站</w:t>
      </w:r>
      <w:r w:rsidRPr="00BD571A">
        <w:rPr>
          <w:rFonts w:ascii="Times New Roman" w:hAnsi="Times New Roman"/>
        </w:rPr>
        <w:t>(</w:t>
      </w:r>
      <w:hyperlink r:id="rId9" w:history="1">
        <w:r w:rsidRPr="00BD571A">
          <w:rPr>
            <w:rFonts w:hint="eastAsia"/>
          </w:rPr>
          <w:t>www.tpptrade.tw</w:t>
        </w:r>
      </w:hyperlink>
      <w:r w:rsidRPr="00BD571A">
        <w:rPr>
          <w:rFonts w:ascii="Times New Roman" w:hAnsi="Times New Roman"/>
        </w:rPr>
        <w:t>)</w:t>
      </w:r>
      <w:r w:rsidRPr="00BD571A">
        <w:rPr>
          <w:rFonts w:ascii="Times New Roman" w:hAnsi="Times New Roman"/>
        </w:rPr>
        <w:t>。</w:t>
      </w:r>
    </w:p>
    <w:sectPr w:rsidR="00BD571A" w:rsidRPr="00BD571A" w:rsidSect="00BD571A">
      <w:headerReference w:type="default" r:id="rId10"/>
      <w:footerReference w:type="defaul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3C" w:rsidRDefault="002E6A3C" w:rsidP="00BD571A">
      <w:r>
        <w:separator/>
      </w:r>
    </w:p>
  </w:endnote>
  <w:endnote w:type="continuationSeparator" w:id="0">
    <w:p w:rsidR="002E6A3C" w:rsidRDefault="002E6A3C" w:rsidP="00BD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793966"/>
      <w:docPartObj>
        <w:docPartGallery w:val="Page Numbers (Bottom of Page)"/>
        <w:docPartUnique/>
      </w:docPartObj>
    </w:sdtPr>
    <w:sdtEndPr/>
    <w:sdtContent>
      <w:p w:rsidR="00BD571A" w:rsidRDefault="00BD57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91B" w:rsidRPr="0073191B">
          <w:rPr>
            <w:noProof/>
            <w:lang w:val="zh-TW"/>
          </w:rPr>
          <w:t>1</w:t>
        </w:r>
        <w:r>
          <w:fldChar w:fldCharType="end"/>
        </w:r>
      </w:p>
    </w:sdtContent>
  </w:sdt>
  <w:p w:rsidR="00BD571A" w:rsidRDefault="00BD57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3C" w:rsidRDefault="002E6A3C" w:rsidP="00BD571A">
      <w:r>
        <w:separator/>
      </w:r>
    </w:p>
  </w:footnote>
  <w:footnote w:type="continuationSeparator" w:id="0">
    <w:p w:rsidR="002E6A3C" w:rsidRDefault="002E6A3C" w:rsidP="00BD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1A" w:rsidRPr="00BD571A" w:rsidRDefault="00BD571A" w:rsidP="00BD571A">
    <w:pPr>
      <w:jc w:val="right"/>
      <w:rPr>
        <w:rFonts w:ascii="標楷體" w:eastAsia="標楷體" w:hAnsi="標楷體"/>
        <w:sz w:val="20"/>
        <w:szCs w:val="20"/>
      </w:rPr>
    </w:pPr>
    <w:r w:rsidRPr="00BD571A">
      <w:rPr>
        <w:rFonts w:ascii="標楷體" w:eastAsia="標楷體" w:hAnsi="標楷體" w:hint="eastAsia"/>
        <w:sz w:val="20"/>
        <w:szCs w:val="20"/>
      </w:rPr>
      <w:t>資料來源：駐越南代表處經濟組、駐胡志明</w:t>
    </w:r>
    <w:r w:rsidR="00B51E23">
      <w:rPr>
        <w:rFonts w:ascii="標楷體" w:eastAsia="標楷體" w:hAnsi="標楷體" w:hint="eastAsia"/>
        <w:sz w:val="20"/>
        <w:szCs w:val="20"/>
      </w:rPr>
      <w:t>辦事</w:t>
    </w:r>
    <w:r w:rsidRPr="00BD571A">
      <w:rPr>
        <w:rFonts w:ascii="標楷體" w:eastAsia="標楷體" w:hAnsi="標楷體" w:hint="eastAsia"/>
        <w:sz w:val="20"/>
        <w:szCs w:val="20"/>
      </w:rPr>
      <w:t>處經濟組</w:t>
    </w:r>
  </w:p>
  <w:p w:rsidR="00BD571A" w:rsidRPr="00BD571A" w:rsidRDefault="00BD571A" w:rsidP="00BD571A">
    <w:pPr>
      <w:jc w:val="right"/>
      <w:rPr>
        <w:rFonts w:ascii="標楷體" w:eastAsia="標楷體" w:hAnsi="標楷體"/>
        <w:sz w:val="20"/>
        <w:szCs w:val="20"/>
      </w:rPr>
    </w:pPr>
    <w:r w:rsidRPr="00BD571A">
      <w:rPr>
        <w:rFonts w:ascii="標楷體" w:eastAsia="標楷體" w:hAnsi="標楷體" w:hint="eastAsia"/>
        <w:sz w:val="20"/>
        <w:szCs w:val="20"/>
      </w:rPr>
      <w:t>彙整單位：經濟部國際貿易局</w:t>
    </w:r>
  </w:p>
  <w:p w:rsidR="00BD571A" w:rsidRPr="00BD571A" w:rsidRDefault="00BD571A" w:rsidP="00BD571A">
    <w:pPr>
      <w:jc w:val="right"/>
      <w:rPr>
        <w:rFonts w:ascii="標楷體" w:eastAsia="標楷體" w:hAnsi="標楷體"/>
        <w:sz w:val="20"/>
        <w:szCs w:val="20"/>
      </w:rPr>
    </w:pPr>
    <w:r w:rsidRPr="00BD571A">
      <w:rPr>
        <w:rFonts w:ascii="標楷體" w:eastAsia="標楷體" w:hAnsi="標楷體" w:hint="eastAsia"/>
        <w:sz w:val="20"/>
        <w:szCs w:val="20"/>
      </w:rPr>
      <w:t>彙整日期：2016年3月</w:t>
    </w:r>
    <w:r w:rsidR="00F23B82">
      <w:rPr>
        <w:rFonts w:ascii="標楷體" w:eastAsia="標楷體" w:hAnsi="標楷體" w:hint="eastAsia"/>
        <w:sz w:val="20"/>
        <w:szCs w:val="20"/>
      </w:rPr>
      <w:t>28</w:t>
    </w:r>
    <w:r w:rsidRPr="00BD571A">
      <w:rPr>
        <w:rFonts w:ascii="標楷體" w:eastAsia="標楷體" w:hAnsi="標楷體" w:hint="eastAsia"/>
        <w:sz w:val="20"/>
        <w:szCs w:val="20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72F7D"/>
    <w:multiLevelType w:val="multilevel"/>
    <w:tmpl w:val="51DE3058"/>
    <w:lvl w:ilvl="0">
      <w:start w:val="1"/>
      <w:numFmt w:val="taiwaneseCountingThousand"/>
      <w:lvlRestart w:val="0"/>
      <w:pStyle w:val="a"/>
      <w:suff w:val="nothing"/>
      <w:lvlText w:val="%1、"/>
      <w:lvlJc w:val="left"/>
      <w:pPr>
        <w:ind w:left="2343" w:hanging="641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587" w:hanging="652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899" w:hanging="538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239" w:hanging="652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2551" w:hanging="538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863" w:hanging="641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3203" w:hanging="550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3515" w:hanging="442"/>
      </w:pPr>
      <w:rPr>
        <w:rFonts w:hint="eastAsia"/>
      </w:rPr>
    </w:lvl>
  </w:abstractNum>
  <w:abstractNum w:abstractNumId="1">
    <w:nsid w:val="56250392"/>
    <w:multiLevelType w:val="multilevel"/>
    <w:tmpl w:val="A0E4DB90"/>
    <w:lvl w:ilvl="0">
      <w:start w:val="1"/>
      <w:numFmt w:val="taiwaneseCountingThousand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321" w:hanging="981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565" w:hanging="65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171" w:hanging="98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415" w:hanging="65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022" w:hanging="98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266" w:hanging="65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872" w:hanging="980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116" w:hanging="657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1A"/>
    <w:rsid w:val="00001D6F"/>
    <w:rsid w:val="0007669F"/>
    <w:rsid w:val="00080BB2"/>
    <w:rsid w:val="00097E37"/>
    <w:rsid w:val="000D2DD3"/>
    <w:rsid w:val="002869E3"/>
    <w:rsid w:val="002E6A3C"/>
    <w:rsid w:val="00446751"/>
    <w:rsid w:val="004F6454"/>
    <w:rsid w:val="005513FF"/>
    <w:rsid w:val="00577ECE"/>
    <w:rsid w:val="006C47C4"/>
    <w:rsid w:val="0073191B"/>
    <w:rsid w:val="008F510F"/>
    <w:rsid w:val="009F22A9"/>
    <w:rsid w:val="00AB04B9"/>
    <w:rsid w:val="00B51E23"/>
    <w:rsid w:val="00BD571A"/>
    <w:rsid w:val="00C020C5"/>
    <w:rsid w:val="00D9029A"/>
    <w:rsid w:val="00F23B82"/>
    <w:rsid w:val="00FA0D11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57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公文(後續段落_段落)"/>
    <w:basedOn w:val="a0"/>
    <w:rsid w:val="00BD571A"/>
    <w:pPr>
      <w:numPr>
        <w:numId w:val="1"/>
      </w:numPr>
      <w:snapToGrid w:val="0"/>
      <w:spacing w:line="500" w:lineRule="exact"/>
      <w:jc w:val="both"/>
    </w:pPr>
    <w:rPr>
      <w:rFonts w:ascii="Times" w:eastAsia="標楷體" w:hAnsi="Times"/>
      <w:noProof/>
      <w:sz w:val="32"/>
      <w:szCs w:val="20"/>
      <w:lang w:bidi="he-IL"/>
    </w:rPr>
  </w:style>
  <w:style w:type="character" w:styleId="a4">
    <w:name w:val="Hyperlink"/>
    <w:basedOn w:val="a1"/>
    <w:uiPriority w:val="99"/>
    <w:unhideWhenUsed/>
    <w:rsid w:val="00BD571A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BD5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D57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D5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D571A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公文(主旨)"/>
    <w:basedOn w:val="a0"/>
    <w:next w:val="a0"/>
    <w:rsid w:val="00001D6F"/>
    <w:pPr>
      <w:snapToGrid w:val="0"/>
      <w:spacing w:line="500" w:lineRule="exact"/>
      <w:ind w:left="964" w:hanging="964"/>
      <w:jc w:val="both"/>
    </w:pPr>
    <w:rPr>
      <w:rFonts w:ascii="Times" w:eastAsia="標楷體" w:hAnsi="Times"/>
      <w:noProof/>
      <w:sz w:val="32"/>
      <w:szCs w:val="20"/>
      <w:lang w:bidi="he-IL"/>
    </w:rPr>
  </w:style>
  <w:style w:type="paragraph" w:styleId="aa">
    <w:name w:val="Balloon Text"/>
    <w:basedOn w:val="a0"/>
    <w:link w:val="ab"/>
    <w:uiPriority w:val="99"/>
    <w:semiHidden/>
    <w:unhideWhenUsed/>
    <w:rsid w:val="00AB0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AB04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57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公文(後續段落_段落)"/>
    <w:basedOn w:val="a0"/>
    <w:rsid w:val="00BD571A"/>
    <w:pPr>
      <w:numPr>
        <w:numId w:val="1"/>
      </w:numPr>
      <w:snapToGrid w:val="0"/>
      <w:spacing w:line="500" w:lineRule="exact"/>
      <w:jc w:val="both"/>
    </w:pPr>
    <w:rPr>
      <w:rFonts w:ascii="Times" w:eastAsia="標楷體" w:hAnsi="Times"/>
      <w:noProof/>
      <w:sz w:val="32"/>
      <w:szCs w:val="20"/>
      <w:lang w:bidi="he-IL"/>
    </w:rPr>
  </w:style>
  <w:style w:type="character" w:styleId="a4">
    <w:name w:val="Hyperlink"/>
    <w:basedOn w:val="a1"/>
    <w:uiPriority w:val="99"/>
    <w:unhideWhenUsed/>
    <w:rsid w:val="00BD571A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BD5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D57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D5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D571A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公文(主旨)"/>
    <w:basedOn w:val="a0"/>
    <w:next w:val="a0"/>
    <w:rsid w:val="00001D6F"/>
    <w:pPr>
      <w:snapToGrid w:val="0"/>
      <w:spacing w:line="500" w:lineRule="exact"/>
      <w:ind w:left="964" w:hanging="964"/>
      <w:jc w:val="both"/>
    </w:pPr>
    <w:rPr>
      <w:rFonts w:ascii="Times" w:eastAsia="標楷體" w:hAnsi="Times"/>
      <w:noProof/>
      <w:sz w:val="32"/>
      <w:szCs w:val="20"/>
      <w:lang w:bidi="he-IL"/>
    </w:rPr>
  </w:style>
  <w:style w:type="paragraph" w:styleId="aa">
    <w:name w:val="Balloon Text"/>
    <w:basedOn w:val="a0"/>
    <w:link w:val="ab"/>
    <w:uiPriority w:val="99"/>
    <w:semiHidden/>
    <w:unhideWhenUsed/>
    <w:rsid w:val="00AB0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AB0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pptrade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32EE-7901-46C8-B1A7-183B3F1A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吳金澄</dc:creator>
  <cp:lastModifiedBy>Joann</cp:lastModifiedBy>
  <cp:revision>2</cp:revision>
  <cp:lastPrinted>2016-03-31T01:27:00Z</cp:lastPrinted>
  <dcterms:created xsi:type="dcterms:W3CDTF">2016-03-31T01:30:00Z</dcterms:created>
  <dcterms:modified xsi:type="dcterms:W3CDTF">2016-03-31T01:30:00Z</dcterms:modified>
</cp:coreProperties>
</file>